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D" w:rsidRPr="009F1907" w:rsidRDefault="0036355D" w:rsidP="00FE40BF">
      <w:pPr>
        <w:spacing w:line="288" w:lineRule="auto"/>
        <w:jc w:val="both"/>
        <w:rPr>
          <w:color w:val="000000"/>
          <w:lang w:val="da-DK"/>
        </w:rPr>
      </w:pPr>
      <w:r w:rsidRPr="009F1907">
        <w:rPr>
          <w:color w:val="000000"/>
          <w:lang w:val="da-DK"/>
        </w:rPr>
        <w:t xml:space="preserve">Skatteministeriet </w:t>
      </w:r>
      <w:r w:rsidRPr="009F1907">
        <w:rPr>
          <w:color w:val="000000"/>
          <w:lang w:val="da-DK"/>
        </w:rPr>
        <w:fldChar w:fldCharType="begin"/>
      </w:r>
      <w:r w:rsidRPr="009F1907">
        <w:rPr>
          <w:color w:val="000000"/>
          <w:lang w:val="da-DK"/>
        </w:rPr>
        <w:instrText>ADVANCE \r255</w:instrText>
      </w:r>
      <w:r w:rsidRPr="009F1907">
        <w:rPr>
          <w:color w:val="000000"/>
          <w:lang w:val="da-DK"/>
        </w:rPr>
        <w:fldChar w:fldCharType="end"/>
      </w:r>
      <w:r w:rsidRPr="009F1907">
        <w:rPr>
          <w:color w:val="000000"/>
          <w:lang w:val="da-DK"/>
        </w:rPr>
        <w:t xml:space="preserve">J. nr. </w:t>
      </w:r>
      <w:r w:rsidR="00FE19AF">
        <w:rPr>
          <w:color w:val="000000"/>
          <w:lang w:val="da-DK"/>
        </w:rPr>
        <w:t>15-0022574</w:t>
      </w:r>
    </w:p>
    <w:p w:rsidR="0036355D" w:rsidRPr="009F1907" w:rsidRDefault="00FE40BF" w:rsidP="0036355D">
      <w:pPr>
        <w:spacing w:line="288" w:lineRule="auto"/>
        <w:jc w:val="both"/>
        <w:rPr>
          <w:color w:val="000000"/>
          <w:lang w:val="da-DK"/>
        </w:rPr>
      </w:pPr>
      <w:r>
        <w:rPr>
          <w:color w:val="000000"/>
          <w:lang w:val="da-DK"/>
        </w:rPr>
        <w:t>Udkast (</w:t>
      </w:r>
      <w:r w:rsidR="00736361">
        <w:rPr>
          <w:color w:val="000000"/>
          <w:lang w:val="da-DK"/>
        </w:rPr>
        <w:t>1.9</w:t>
      </w:r>
      <w:r>
        <w:rPr>
          <w:color w:val="000000"/>
          <w:lang w:val="da-DK"/>
        </w:rPr>
        <w:t>)</w:t>
      </w: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jc w:val="center"/>
        <w:rPr>
          <w:b/>
          <w:bCs/>
          <w:color w:val="000000"/>
          <w:sz w:val="28"/>
          <w:lang w:val="da-DK"/>
        </w:rPr>
      </w:pPr>
      <w:bookmarkStart w:id="0" w:name="_Toc207591971"/>
      <w:bookmarkStart w:id="1" w:name="_Toc207684802"/>
      <w:bookmarkStart w:id="2" w:name="_Toc210026133"/>
      <w:r w:rsidRPr="009F1907">
        <w:rPr>
          <w:b/>
          <w:bCs/>
          <w:color w:val="000000"/>
          <w:sz w:val="28"/>
          <w:lang w:val="da-DK"/>
        </w:rPr>
        <w:t xml:space="preserve">Forslag </w:t>
      </w:r>
    </w:p>
    <w:p w:rsidR="0036355D" w:rsidRPr="009F1907" w:rsidRDefault="0036355D" w:rsidP="0036355D">
      <w:pPr>
        <w:jc w:val="center"/>
        <w:rPr>
          <w:color w:val="000000"/>
          <w:lang w:val="da-DK"/>
        </w:rPr>
      </w:pPr>
      <w:r w:rsidRPr="009F1907">
        <w:rPr>
          <w:color w:val="000000"/>
          <w:lang w:val="da-DK"/>
        </w:rPr>
        <w:t xml:space="preserve">til </w:t>
      </w:r>
    </w:p>
    <w:p w:rsidR="00FE19AF" w:rsidRDefault="00FE19AF" w:rsidP="00FE19AF">
      <w:pPr>
        <w:jc w:val="center"/>
        <w:rPr>
          <w:b/>
          <w:color w:val="000000"/>
          <w:sz w:val="28"/>
          <w:lang w:val="da-DK"/>
        </w:rPr>
      </w:pPr>
      <w:r w:rsidRPr="009F1907">
        <w:rPr>
          <w:b/>
          <w:color w:val="000000"/>
          <w:sz w:val="28"/>
          <w:lang w:val="da-DK"/>
        </w:rPr>
        <w:t xml:space="preserve">Lov om ændring af </w:t>
      </w:r>
      <w:r w:rsidRPr="00401477">
        <w:rPr>
          <w:b/>
          <w:color w:val="000000"/>
          <w:sz w:val="28"/>
          <w:lang w:val="da-DK"/>
        </w:rPr>
        <w:t xml:space="preserve">selskabsskatteloven </w:t>
      </w:r>
    </w:p>
    <w:p w:rsidR="006B379C" w:rsidRDefault="006B379C" w:rsidP="00FE19AF">
      <w:pPr>
        <w:jc w:val="center"/>
        <w:rPr>
          <w:b/>
          <w:color w:val="000000"/>
          <w:sz w:val="28"/>
          <w:lang w:val="da-DK"/>
        </w:rPr>
      </w:pPr>
    </w:p>
    <w:p w:rsidR="00FE19AF" w:rsidRPr="00EC1625" w:rsidRDefault="00FE19AF" w:rsidP="00FE19AF">
      <w:pPr>
        <w:jc w:val="center"/>
        <w:rPr>
          <w:color w:val="000000"/>
          <w:lang w:val="da-DK"/>
        </w:rPr>
      </w:pPr>
      <w:r w:rsidRPr="00E26AE0">
        <w:rPr>
          <w:color w:val="000000"/>
          <w:lang w:val="da-DK"/>
        </w:rPr>
        <w:t>(Udskydelse af selvangivelsesfristen for selskaber m.v. og lempelse af sanktionen ved manglend</w:t>
      </w:r>
      <w:r w:rsidR="000071DF">
        <w:rPr>
          <w:color w:val="000000"/>
          <w:lang w:val="da-DK"/>
        </w:rPr>
        <w:t>e registrering af underskud</w:t>
      </w:r>
      <w:r w:rsidR="005F5201">
        <w:rPr>
          <w:color w:val="000000"/>
          <w:lang w:val="da-DK"/>
        </w:rPr>
        <w:t xml:space="preserve"> m.v.</w:t>
      </w:r>
      <w:r w:rsidRPr="00E26AE0">
        <w:rPr>
          <w:color w:val="000000"/>
          <w:lang w:val="da-DK"/>
        </w:rPr>
        <w:t>)</w:t>
      </w:r>
      <w:r w:rsidRPr="00EC1625">
        <w:rPr>
          <w:color w:val="000000"/>
          <w:lang w:val="da-DK"/>
        </w:rPr>
        <w:t xml:space="preserve"> </w:t>
      </w:r>
    </w:p>
    <w:p w:rsidR="0036355D" w:rsidRPr="009F1907" w:rsidRDefault="0036355D" w:rsidP="0036355D">
      <w:pPr>
        <w:jc w:val="center"/>
        <w:rPr>
          <w:color w:val="000000"/>
          <w:lang w:val="da-DK"/>
        </w:rPr>
      </w:pPr>
    </w:p>
    <w:p w:rsidR="0036355D" w:rsidRPr="009F1907" w:rsidRDefault="0036355D" w:rsidP="0036355D">
      <w:pPr>
        <w:spacing w:line="288" w:lineRule="auto"/>
        <w:jc w:val="center"/>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ind w:left="3600" w:firstLine="720"/>
        <w:rPr>
          <w:color w:val="000000"/>
          <w:lang w:val="da-DK"/>
        </w:rPr>
      </w:pPr>
      <w:r w:rsidRPr="009F1907">
        <w:rPr>
          <w:b/>
          <w:color w:val="000000"/>
          <w:lang w:val="da-DK"/>
        </w:rPr>
        <w:t>§ 1</w:t>
      </w:r>
      <w:r w:rsidRPr="009F1907">
        <w:rPr>
          <w:color w:val="000000"/>
          <w:lang w:val="da-DK"/>
        </w:rPr>
        <w:t xml:space="preserve"> </w:t>
      </w:r>
    </w:p>
    <w:p w:rsidR="0036355D" w:rsidRPr="009F1907" w:rsidRDefault="0036355D" w:rsidP="0036355D">
      <w:pPr>
        <w:jc w:val="center"/>
        <w:rPr>
          <w:color w:val="000000"/>
          <w:lang w:val="da-DK"/>
        </w:rPr>
      </w:pPr>
    </w:p>
    <w:p w:rsidR="00FE19AF" w:rsidRDefault="00FE19AF" w:rsidP="00FE19AF">
      <w:pPr>
        <w:spacing w:line="288" w:lineRule="auto"/>
        <w:rPr>
          <w:color w:val="000000"/>
          <w:lang w:val="da-DK"/>
        </w:rPr>
      </w:pPr>
      <w:r>
        <w:rPr>
          <w:color w:val="000000"/>
          <w:lang w:val="da-DK"/>
        </w:rPr>
        <w:t xml:space="preserve">   I selskabsskatteloven, jf. lovbekendtgørelse nr. </w:t>
      </w:r>
      <w:r w:rsidRPr="00FA42BF">
        <w:rPr>
          <w:color w:val="000000"/>
          <w:lang w:val="da-DK"/>
        </w:rPr>
        <w:t>1082 af 14</w:t>
      </w:r>
      <w:r>
        <w:rPr>
          <w:color w:val="000000"/>
          <w:lang w:val="da-DK"/>
        </w:rPr>
        <w:t xml:space="preserve">. november </w:t>
      </w:r>
      <w:r w:rsidRPr="00FA42BF">
        <w:rPr>
          <w:color w:val="000000"/>
          <w:lang w:val="da-DK"/>
        </w:rPr>
        <w:t>2012</w:t>
      </w:r>
      <w:r>
        <w:rPr>
          <w:color w:val="000000"/>
          <w:lang w:val="da-DK"/>
        </w:rPr>
        <w:t>, som ændret bl.a. ved</w:t>
      </w:r>
      <w:r w:rsidRPr="00FA42BF">
        <w:rPr>
          <w:color w:val="000000"/>
          <w:lang w:val="da-DK"/>
        </w:rPr>
        <w:t xml:space="preserve"> § 2 i lov nr. </w:t>
      </w:r>
      <w:r>
        <w:rPr>
          <w:color w:val="000000"/>
          <w:lang w:val="da-DK"/>
        </w:rPr>
        <w:t xml:space="preserve">528 </w:t>
      </w:r>
      <w:r w:rsidRPr="00FA42BF">
        <w:rPr>
          <w:color w:val="000000"/>
          <w:lang w:val="da-DK"/>
        </w:rPr>
        <w:t>af 2</w:t>
      </w:r>
      <w:r>
        <w:rPr>
          <w:color w:val="000000"/>
          <w:lang w:val="da-DK"/>
        </w:rPr>
        <w:t>8</w:t>
      </w:r>
      <w:r w:rsidRPr="00FA42BF">
        <w:rPr>
          <w:color w:val="000000"/>
          <w:lang w:val="da-DK"/>
        </w:rPr>
        <w:t>. ma</w:t>
      </w:r>
      <w:r>
        <w:rPr>
          <w:color w:val="000000"/>
          <w:lang w:val="da-DK"/>
        </w:rPr>
        <w:t>j</w:t>
      </w:r>
      <w:r w:rsidRPr="00FA42BF">
        <w:rPr>
          <w:color w:val="000000"/>
          <w:lang w:val="da-DK"/>
        </w:rPr>
        <w:t xml:space="preserve"> 2014</w:t>
      </w:r>
      <w:r>
        <w:rPr>
          <w:color w:val="000000"/>
          <w:lang w:val="da-DK"/>
        </w:rPr>
        <w:t xml:space="preserve"> og senest ved § 4 i lov nr. 1375 af 16. december 2014</w:t>
      </w:r>
      <w:r w:rsidRPr="00FA42BF">
        <w:rPr>
          <w:color w:val="000000"/>
          <w:lang w:val="da-DK"/>
        </w:rPr>
        <w:t>,</w:t>
      </w:r>
      <w:r>
        <w:rPr>
          <w:color w:val="000000"/>
          <w:lang w:val="da-DK"/>
        </w:rPr>
        <w:t xml:space="preserve"> foretages følgende ændringer:</w:t>
      </w:r>
    </w:p>
    <w:p w:rsidR="0036355D" w:rsidRPr="009F1907" w:rsidRDefault="0036355D" w:rsidP="0036355D">
      <w:pPr>
        <w:spacing w:line="288" w:lineRule="auto"/>
        <w:rPr>
          <w:color w:val="000000"/>
          <w:lang w:val="da-DK"/>
        </w:rPr>
      </w:pPr>
    </w:p>
    <w:p w:rsidR="00FE19AF" w:rsidRPr="00FE19AF" w:rsidRDefault="0036355D" w:rsidP="00FE19AF">
      <w:pPr>
        <w:tabs>
          <w:tab w:val="left" w:pos="0"/>
          <w:tab w:val="left" w:pos="284"/>
        </w:tabs>
        <w:spacing w:line="288" w:lineRule="auto"/>
        <w:rPr>
          <w:bCs/>
          <w:color w:val="000000"/>
          <w:lang w:val="da-DK"/>
        </w:rPr>
      </w:pPr>
      <w:r w:rsidRPr="009F1907">
        <w:rPr>
          <w:b/>
          <w:bCs/>
          <w:color w:val="000000"/>
          <w:lang w:val="da-DK"/>
        </w:rPr>
        <w:t xml:space="preserve">1. </w:t>
      </w:r>
      <w:r w:rsidR="00FE40BF" w:rsidRPr="00FE40BF">
        <w:rPr>
          <w:bCs/>
          <w:color w:val="000000"/>
          <w:lang w:val="da-DK"/>
        </w:rPr>
        <w:t>I</w:t>
      </w:r>
      <w:r w:rsidR="00FE40BF">
        <w:rPr>
          <w:b/>
          <w:bCs/>
          <w:color w:val="000000"/>
          <w:lang w:val="da-DK"/>
        </w:rPr>
        <w:t xml:space="preserve"> </w:t>
      </w:r>
      <w:r w:rsidR="00FE19AF" w:rsidRPr="00FE19AF">
        <w:rPr>
          <w:bCs/>
          <w:i/>
          <w:color w:val="000000"/>
          <w:lang w:val="da-DK"/>
        </w:rPr>
        <w:t>§ 35, stk. 1</w:t>
      </w:r>
      <w:r w:rsidR="00FE19AF" w:rsidRPr="00C24A1E">
        <w:rPr>
          <w:bCs/>
          <w:i/>
          <w:color w:val="000000"/>
          <w:lang w:val="da-DK"/>
        </w:rPr>
        <w:t>,</w:t>
      </w:r>
      <w:r w:rsidR="00FE19AF" w:rsidRPr="00FE19AF">
        <w:rPr>
          <w:bCs/>
          <w:color w:val="000000"/>
          <w:lang w:val="da-DK"/>
        </w:rPr>
        <w:t xml:space="preserve"> affattes således:</w:t>
      </w:r>
    </w:p>
    <w:p w:rsidR="00FE40BF" w:rsidRDefault="00FE19AF" w:rsidP="00FE19AF">
      <w:pPr>
        <w:tabs>
          <w:tab w:val="left" w:pos="0"/>
          <w:tab w:val="left" w:pos="284"/>
        </w:tabs>
        <w:spacing w:line="288" w:lineRule="auto"/>
        <w:rPr>
          <w:bCs/>
          <w:color w:val="000000"/>
          <w:lang w:val="da-DK"/>
        </w:rPr>
      </w:pPr>
      <w:r w:rsidRPr="00FE19AF">
        <w:rPr>
          <w:bCs/>
          <w:color w:val="000000"/>
          <w:lang w:val="da-DK"/>
        </w:rPr>
        <w:t>”</w:t>
      </w:r>
      <w:r w:rsidR="00EC1625" w:rsidRPr="00E26AE0">
        <w:rPr>
          <w:bCs/>
          <w:i/>
          <w:color w:val="000000"/>
          <w:lang w:val="da-DK"/>
        </w:rPr>
        <w:t>Stk. 1</w:t>
      </w:r>
      <w:r w:rsidR="00EC1625">
        <w:rPr>
          <w:bCs/>
          <w:i/>
          <w:color w:val="000000"/>
          <w:lang w:val="da-DK"/>
        </w:rPr>
        <w:t xml:space="preserve">. </w:t>
      </w:r>
      <w:r w:rsidRPr="00FE19AF">
        <w:rPr>
          <w:bCs/>
          <w:color w:val="000000"/>
          <w:lang w:val="da-DK"/>
        </w:rPr>
        <w:t>Skattepligtige selskaber m.v. skal for hvert af indkomstårene 2002 til og med det seneste indkomstår, der udløber inden indberetningstidspunktet, foretage digital indberetning til told- og skatteforvaltningen af resterende fremførselsberettigede underskud, jf. § 12 og fondsbeskatningsl</w:t>
      </w:r>
      <w:r w:rsidRPr="00FE19AF">
        <w:rPr>
          <w:bCs/>
          <w:color w:val="000000"/>
          <w:lang w:val="da-DK"/>
        </w:rPr>
        <w:t>o</w:t>
      </w:r>
      <w:r w:rsidRPr="00FE19AF">
        <w:rPr>
          <w:bCs/>
          <w:color w:val="000000"/>
          <w:lang w:val="da-DK"/>
        </w:rPr>
        <w:t>vens § 3, stk. 2, jf. dog stk. 4. For sambeskattede selskaber m.v. påhviler indberetningspligten a</w:t>
      </w:r>
      <w:r w:rsidRPr="00FE19AF">
        <w:rPr>
          <w:bCs/>
          <w:color w:val="000000"/>
          <w:lang w:val="da-DK"/>
        </w:rPr>
        <w:t>d</w:t>
      </w:r>
      <w:r w:rsidRPr="00FE19AF">
        <w:rPr>
          <w:bCs/>
          <w:color w:val="000000"/>
          <w:lang w:val="da-DK"/>
        </w:rPr>
        <w:t>ministrationsselskabet. Der betales et tillæg på 5.000 kr., hvis der ikke indberettes rettidigt efter 1. pkt. Tillægget tilfalder staten.”</w:t>
      </w:r>
    </w:p>
    <w:p w:rsidR="00FE40BF" w:rsidRDefault="00FE40BF" w:rsidP="0036355D">
      <w:pPr>
        <w:tabs>
          <w:tab w:val="left" w:pos="0"/>
          <w:tab w:val="left" w:pos="284"/>
        </w:tabs>
        <w:spacing w:line="288" w:lineRule="auto"/>
        <w:rPr>
          <w:bCs/>
          <w:color w:val="000000"/>
          <w:lang w:val="da-DK"/>
        </w:rPr>
      </w:pPr>
    </w:p>
    <w:p w:rsidR="0036355D" w:rsidRDefault="00FE40BF" w:rsidP="0036355D">
      <w:pPr>
        <w:tabs>
          <w:tab w:val="left" w:pos="0"/>
          <w:tab w:val="left" w:pos="284"/>
        </w:tabs>
        <w:spacing w:line="288" w:lineRule="auto"/>
        <w:rPr>
          <w:bCs/>
          <w:color w:val="000000"/>
          <w:lang w:val="da-DK"/>
        </w:rPr>
      </w:pPr>
      <w:r>
        <w:rPr>
          <w:b/>
          <w:color w:val="000000"/>
          <w:lang w:val="da-DK"/>
        </w:rPr>
        <w:t xml:space="preserve">2. </w:t>
      </w:r>
      <w:r w:rsidR="00FE19AF">
        <w:rPr>
          <w:bCs/>
          <w:color w:val="000000"/>
          <w:lang w:val="da-DK"/>
        </w:rPr>
        <w:t xml:space="preserve">I </w:t>
      </w:r>
      <w:r w:rsidR="00FE19AF" w:rsidRPr="00733532">
        <w:rPr>
          <w:bCs/>
          <w:i/>
          <w:color w:val="000000"/>
          <w:lang w:val="da-DK"/>
        </w:rPr>
        <w:t>§ 35 stk. 2</w:t>
      </w:r>
      <w:r w:rsidR="00FE19AF" w:rsidRPr="00E26AE0">
        <w:rPr>
          <w:bCs/>
          <w:i/>
          <w:color w:val="000000"/>
          <w:lang w:val="da-DK"/>
        </w:rPr>
        <w:t>,</w:t>
      </w:r>
      <w:r w:rsidR="00FE19AF">
        <w:rPr>
          <w:bCs/>
          <w:color w:val="000000"/>
          <w:lang w:val="da-DK"/>
        </w:rPr>
        <w:t xml:space="preserve"> indsættes efter ”digitalt”: ”, jf. dog stk. 4”.</w:t>
      </w:r>
    </w:p>
    <w:p w:rsidR="00FE19AF" w:rsidRDefault="00FE19AF" w:rsidP="0036355D">
      <w:pPr>
        <w:tabs>
          <w:tab w:val="left" w:pos="0"/>
          <w:tab w:val="left" w:pos="284"/>
        </w:tabs>
        <w:spacing w:line="288" w:lineRule="auto"/>
        <w:rPr>
          <w:bCs/>
          <w:color w:val="000000"/>
          <w:lang w:val="da-DK"/>
        </w:rPr>
      </w:pPr>
    </w:p>
    <w:p w:rsidR="00FE19AF" w:rsidRPr="00FE19AF" w:rsidRDefault="00FE19AF" w:rsidP="00FE19AF">
      <w:pPr>
        <w:tabs>
          <w:tab w:val="left" w:pos="0"/>
          <w:tab w:val="left" w:pos="284"/>
        </w:tabs>
        <w:spacing w:line="288" w:lineRule="auto"/>
        <w:rPr>
          <w:color w:val="000000"/>
          <w:lang w:val="da-DK"/>
        </w:rPr>
      </w:pPr>
      <w:r w:rsidRPr="00C24A1E">
        <w:rPr>
          <w:b/>
          <w:color w:val="000000"/>
          <w:lang w:val="da-DK"/>
        </w:rPr>
        <w:t>3.</w:t>
      </w:r>
      <w:r w:rsidRPr="00FE19AF">
        <w:rPr>
          <w:color w:val="000000"/>
          <w:lang w:val="da-DK"/>
        </w:rPr>
        <w:t xml:space="preserve"> </w:t>
      </w:r>
      <w:r w:rsidRPr="00C24A1E">
        <w:rPr>
          <w:i/>
          <w:color w:val="000000"/>
          <w:lang w:val="da-DK"/>
        </w:rPr>
        <w:t>§ 35, stk. 4,</w:t>
      </w:r>
      <w:r w:rsidRPr="00FE19AF">
        <w:rPr>
          <w:color w:val="000000"/>
          <w:lang w:val="da-DK"/>
        </w:rPr>
        <w:t xml:space="preserve"> affattes således:</w:t>
      </w:r>
    </w:p>
    <w:p w:rsidR="00FE19AF" w:rsidRPr="009F1907" w:rsidRDefault="00FE19AF" w:rsidP="00FE19AF">
      <w:pPr>
        <w:tabs>
          <w:tab w:val="left" w:pos="0"/>
          <w:tab w:val="left" w:pos="284"/>
        </w:tabs>
        <w:spacing w:line="288" w:lineRule="auto"/>
        <w:rPr>
          <w:color w:val="000000"/>
          <w:lang w:val="da-DK"/>
        </w:rPr>
      </w:pPr>
      <w:r w:rsidRPr="00FE19AF">
        <w:rPr>
          <w:color w:val="000000"/>
          <w:lang w:val="da-DK"/>
        </w:rPr>
        <w:t>”</w:t>
      </w:r>
      <w:r w:rsidR="00EC1625" w:rsidRPr="00E26AE0">
        <w:rPr>
          <w:i/>
          <w:color w:val="000000"/>
          <w:lang w:val="da-DK"/>
        </w:rPr>
        <w:t>Stk. 4.</w:t>
      </w:r>
      <w:r w:rsidR="00EC1625">
        <w:rPr>
          <w:color w:val="000000"/>
          <w:lang w:val="da-DK"/>
        </w:rPr>
        <w:t xml:space="preserve"> </w:t>
      </w:r>
      <w:r w:rsidRPr="00FE19AF">
        <w:rPr>
          <w:color w:val="000000"/>
          <w:lang w:val="da-DK"/>
        </w:rPr>
        <w:t>Skatteministeren fastsætter regler om fritagelse for visse selskaber m.v. fra indberetning</w:t>
      </w:r>
      <w:r w:rsidRPr="00FE19AF">
        <w:rPr>
          <w:color w:val="000000"/>
          <w:lang w:val="da-DK"/>
        </w:rPr>
        <w:t>s</w:t>
      </w:r>
      <w:r w:rsidRPr="00FE19AF">
        <w:rPr>
          <w:color w:val="000000"/>
          <w:lang w:val="da-DK"/>
        </w:rPr>
        <w:t>pligten</w:t>
      </w:r>
      <w:r w:rsidR="0016634D">
        <w:rPr>
          <w:color w:val="000000"/>
          <w:lang w:val="da-DK"/>
        </w:rPr>
        <w:t>. Endvidere kan ministeren fastsætte regler om</w:t>
      </w:r>
      <w:r w:rsidRPr="00FE19AF">
        <w:rPr>
          <w:color w:val="000000"/>
          <w:lang w:val="da-DK"/>
        </w:rPr>
        <w:t xml:space="preserve"> indberetningstidspunktet, adgangen for told- og skatteforvaltningen til, hvis der foreligger særlige omstændigheder, at se bort fra en fristove</w:t>
      </w:r>
      <w:r w:rsidRPr="00FE19AF">
        <w:rPr>
          <w:color w:val="000000"/>
          <w:lang w:val="da-DK"/>
        </w:rPr>
        <w:t>r</w:t>
      </w:r>
      <w:r w:rsidRPr="00FE19AF">
        <w:rPr>
          <w:color w:val="000000"/>
          <w:lang w:val="da-DK"/>
        </w:rPr>
        <w:t>skridelse, herunder at frafalde tillægget i stk. 1, perioden for indberetningen, hvilke specifikationer indberetningen skal indeholde, og hvorledes indberetningen skal ske efter stk. 1 og 2.”</w:t>
      </w:r>
    </w:p>
    <w:p w:rsidR="00FE40BF" w:rsidRDefault="00FE40BF" w:rsidP="0036355D">
      <w:pPr>
        <w:tabs>
          <w:tab w:val="left" w:pos="284"/>
        </w:tabs>
        <w:spacing w:line="288" w:lineRule="auto"/>
        <w:jc w:val="both"/>
        <w:rPr>
          <w:b/>
          <w:color w:val="000000"/>
          <w:lang w:val="da-DK"/>
        </w:rPr>
      </w:pPr>
    </w:p>
    <w:p w:rsidR="00FE40BF" w:rsidRPr="009F1907" w:rsidRDefault="00FE40BF" w:rsidP="00FE40BF">
      <w:pPr>
        <w:ind w:left="3600" w:firstLine="720"/>
        <w:rPr>
          <w:color w:val="000000"/>
          <w:lang w:val="da-DK"/>
        </w:rPr>
      </w:pPr>
      <w:r>
        <w:rPr>
          <w:b/>
          <w:color w:val="000000"/>
          <w:lang w:val="da-DK"/>
        </w:rPr>
        <w:t>§ 2</w:t>
      </w:r>
      <w:r w:rsidRPr="009F1907">
        <w:rPr>
          <w:color w:val="000000"/>
          <w:lang w:val="da-DK"/>
        </w:rPr>
        <w:t xml:space="preserve"> </w:t>
      </w:r>
    </w:p>
    <w:p w:rsidR="00FE40BF" w:rsidRPr="009F1907" w:rsidRDefault="00FE40BF" w:rsidP="00FE40BF">
      <w:pPr>
        <w:jc w:val="center"/>
        <w:rPr>
          <w:color w:val="000000"/>
          <w:lang w:val="da-DK"/>
        </w:rPr>
      </w:pPr>
    </w:p>
    <w:p w:rsidR="00FE19AF" w:rsidRPr="009F1907" w:rsidRDefault="00FE19AF" w:rsidP="00FE19AF">
      <w:pPr>
        <w:spacing w:line="288" w:lineRule="auto"/>
        <w:rPr>
          <w:color w:val="000000"/>
          <w:lang w:val="da-DK"/>
        </w:rPr>
      </w:pPr>
      <w:r>
        <w:rPr>
          <w:rStyle w:val="Fodnotehenvisning"/>
          <w:rFonts w:eastAsia="Arial Unicode MS"/>
          <w:color w:val="000000"/>
          <w:lang w:val="da-DK"/>
        </w:rPr>
        <w:t xml:space="preserve">   </w:t>
      </w:r>
      <w:r w:rsidRPr="009F1907">
        <w:rPr>
          <w:rStyle w:val="Fodnotehenvisning"/>
          <w:rFonts w:eastAsia="Arial Unicode MS"/>
          <w:color w:val="000000"/>
          <w:lang w:val="da-DK"/>
        </w:rPr>
        <w:t>I</w:t>
      </w:r>
      <w:r w:rsidRPr="009F1907">
        <w:rPr>
          <w:color w:val="000000"/>
          <w:lang w:val="da-DK"/>
        </w:rPr>
        <w:t xml:space="preserve"> </w:t>
      </w:r>
      <w:r w:rsidRPr="00401477">
        <w:rPr>
          <w:color w:val="000000"/>
          <w:lang w:val="da-DK"/>
        </w:rPr>
        <w:t>lov nr. 528 af 28. maj 2014 om ændring af aktieavancebeskatningsloven, selskabsskatteloven og</w:t>
      </w:r>
      <w:r>
        <w:rPr>
          <w:color w:val="000000"/>
          <w:lang w:val="da-DK"/>
        </w:rPr>
        <w:t xml:space="preserve"> </w:t>
      </w:r>
      <w:r w:rsidRPr="00401477">
        <w:rPr>
          <w:color w:val="000000"/>
          <w:lang w:val="da-DK"/>
        </w:rPr>
        <w:t>skattekontrolloven (Selskaber m.v.s registrering af fremførselsberettigede underskud, oplysning</w:t>
      </w:r>
      <w:r w:rsidRPr="00401477">
        <w:rPr>
          <w:color w:val="000000"/>
          <w:lang w:val="da-DK"/>
        </w:rPr>
        <w:t>s</w:t>
      </w:r>
      <w:r w:rsidRPr="00401477">
        <w:rPr>
          <w:color w:val="000000"/>
          <w:lang w:val="da-DK"/>
        </w:rPr>
        <w:lastRenderedPageBreak/>
        <w:t>pligt om erhvervelse af visse aktier og investeringsbeviser m.v., selvangivelse af kildeartsbegræns</w:t>
      </w:r>
      <w:r w:rsidRPr="00401477">
        <w:rPr>
          <w:color w:val="000000"/>
          <w:lang w:val="da-DK"/>
        </w:rPr>
        <w:t>e</w:t>
      </w:r>
      <w:r w:rsidRPr="00401477">
        <w:rPr>
          <w:color w:val="000000"/>
          <w:lang w:val="da-DK"/>
        </w:rPr>
        <w:t>de tab m.v.) foretages følgende ændring</w:t>
      </w:r>
      <w:r w:rsidRPr="009F1907">
        <w:rPr>
          <w:color w:val="000000"/>
          <w:lang w:val="da-DK"/>
        </w:rPr>
        <w:t>:</w:t>
      </w:r>
    </w:p>
    <w:p w:rsidR="00FE40BF" w:rsidRPr="009F1907" w:rsidRDefault="00FE40BF" w:rsidP="00FE40BF">
      <w:pPr>
        <w:spacing w:line="288" w:lineRule="auto"/>
        <w:rPr>
          <w:color w:val="000000"/>
          <w:lang w:val="da-DK"/>
        </w:rPr>
      </w:pPr>
    </w:p>
    <w:p w:rsidR="00FE19AF" w:rsidRDefault="00FE40BF" w:rsidP="00FE19AF">
      <w:pPr>
        <w:tabs>
          <w:tab w:val="left" w:pos="284"/>
        </w:tabs>
        <w:spacing w:line="288" w:lineRule="auto"/>
        <w:jc w:val="both"/>
        <w:rPr>
          <w:color w:val="000000"/>
          <w:lang w:val="da-DK"/>
        </w:rPr>
      </w:pPr>
      <w:r w:rsidRPr="009F1907">
        <w:rPr>
          <w:b/>
          <w:bCs/>
          <w:color w:val="000000"/>
          <w:lang w:val="da-DK"/>
        </w:rPr>
        <w:t xml:space="preserve">1. </w:t>
      </w:r>
      <w:r w:rsidR="00FE19AF" w:rsidRPr="00401477">
        <w:rPr>
          <w:i/>
          <w:color w:val="000000"/>
          <w:lang w:val="da-DK"/>
        </w:rPr>
        <w:t>§ 4</w:t>
      </w:r>
      <w:r w:rsidR="00FE19AF">
        <w:rPr>
          <w:i/>
          <w:color w:val="000000"/>
          <w:lang w:val="da-DK"/>
        </w:rPr>
        <w:t>, stk. 5</w:t>
      </w:r>
      <w:r w:rsidR="00FE19AF">
        <w:rPr>
          <w:color w:val="000000"/>
          <w:lang w:val="da-DK"/>
        </w:rPr>
        <w:t xml:space="preserve">, </w:t>
      </w:r>
      <w:r w:rsidR="00A619FD">
        <w:rPr>
          <w:color w:val="000000"/>
          <w:lang w:val="da-DK"/>
        </w:rPr>
        <w:t>affattes således</w:t>
      </w:r>
      <w:r w:rsidR="00FE19AF">
        <w:rPr>
          <w:color w:val="000000"/>
          <w:lang w:val="da-DK"/>
        </w:rPr>
        <w:t>:</w:t>
      </w:r>
    </w:p>
    <w:p w:rsidR="00FE19AF" w:rsidRPr="00562D5A" w:rsidRDefault="00FE19AF" w:rsidP="00FE19AF">
      <w:pPr>
        <w:spacing w:line="288" w:lineRule="auto"/>
        <w:rPr>
          <w:lang w:val="da-DK"/>
        </w:rPr>
      </w:pPr>
      <w:r w:rsidRPr="00562D5A">
        <w:rPr>
          <w:lang w:val="da-DK"/>
        </w:rPr>
        <w:t>”</w:t>
      </w:r>
      <w:r w:rsidRPr="00562D5A">
        <w:rPr>
          <w:i/>
          <w:iCs/>
          <w:lang w:val="da-DK"/>
        </w:rPr>
        <w:t>Stk. 5.</w:t>
      </w:r>
      <w:r w:rsidRPr="00562D5A">
        <w:rPr>
          <w:lang w:val="da-DK"/>
        </w:rPr>
        <w:t xml:space="preserve"> Juridiske personer</w:t>
      </w:r>
      <w:r w:rsidR="00A619FD">
        <w:rPr>
          <w:lang w:val="da-DK"/>
        </w:rPr>
        <w:t xml:space="preserve">, som </w:t>
      </w:r>
      <w:r w:rsidR="00491F40">
        <w:rPr>
          <w:lang w:val="da-DK"/>
        </w:rPr>
        <w:t>omfattet af</w:t>
      </w:r>
      <w:r w:rsidR="00A619FD">
        <w:rPr>
          <w:lang w:val="da-DK"/>
        </w:rPr>
        <w:t xml:space="preserve"> skattekontrollovens § 4, stk. 2,</w:t>
      </w:r>
      <w:r w:rsidRPr="00562D5A">
        <w:rPr>
          <w:lang w:val="da-DK"/>
        </w:rPr>
        <w:t xml:space="preserve"> skal for indkomståret 2014 selvangive senest den 1. september 2015 og</w:t>
      </w:r>
      <w:r w:rsidR="00A619FD">
        <w:rPr>
          <w:lang w:val="da-DK"/>
        </w:rPr>
        <w:t xml:space="preserve"> </w:t>
      </w:r>
      <w:r w:rsidRPr="00562D5A">
        <w:rPr>
          <w:lang w:val="da-DK"/>
        </w:rPr>
        <w:t>for indkomståret 2015 senest den 1. september 2016.</w:t>
      </w:r>
      <w:r>
        <w:rPr>
          <w:lang w:val="da-DK"/>
        </w:rPr>
        <w:t>”</w:t>
      </w:r>
    </w:p>
    <w:p w:rsidR="00FE19AF" w:rsidRPr="00401477" w:rsidRDefault="00FE19AF" w:rsidP="00FE19AF">
      <w:pPr>
        <w:spacing w:line="288" w:lineRule="auto"/>
        <w:rPr>
          <w:color w:val="000000"/>
          <w:lang w:val="da-DK"/>
        </w:rPr>
      </w:pPr>
      <w:r>
        <w:rPr>
          <w:color w:val="000000"/>
          <w:lang w:val="da-DK"/>
        </w:rPr>
        <w:t xml:space="preserve"> </w:t>
      </w:r>
    </w:p>
    <w:p w:rsidR="00FE19AF" w:rsidRPr="009F1907" w:rsidRDefault="00FE19AF" w:rsidP="00FE19AF">
      <w:pPr>
        <w:ind w:left="3600" w:firstLine="720"/>
        <w:rPr>
          <w:color w:val="000000"/>
          <w:lang w:val="da-DK"/>
        </w:rPr>
      </w:pPr>
      <w:r>
        <w:rPr>
          <w:b/>
          <w:color w:val="000000"/>
          <w:lang w:val="da-DK"/>
        </w:rPr>
        <w:t>§ 3</w:t>
      </w:r>
      <w:r w:rsidRPr="009F1907">
        <w:rPr>
          <w:color w:val="000000"/>
          <w:lang w:val="da-DK"/>
        </w:rPr>
        <w:t xml:space="preserve"> </w:t>
      </w:r>
    </w:p>
    <w:p w:rsidR="00FE40BF" w:rsidRDefault="00FE40BF" w:rsidP="00FE19AF">
      <w:pPr>
        <w:tabs>
          <w:tab w:val="left" w:pos="0"/>
          <w:tab w:val="left" w:pos="284"/>
        </w:tabs>
        <w:spacing w:line="288" w:lineRule="auto"/>
        <w:rPr>
          <w:b/>
          <w:bCs/>
          <w:color w:val="000000"/>
          <w:lang w:val="da-DK"/>
        </w:rPr>
      </w:pPr>
      <w:r>
        <w:rPr>
          <w:b/>
          <w:bCs/>
          <w:color w:val="000000"/>
          <w:lang w:val="da-DK"/>
        </w:rPr>
        <w:t xml:space="preserve"> </w:t>
      </w:r>
    </w:p>
    <w:p w:rsidR="00FE19AF" w:rsidRPr="009F1907" w:rsidRDefault="00FE19AF" w:rsidP="00FE19AF">
      <w:pPr>
        <w:tabs>
          <w:tab w:val="left" w:pos="284"/>
        </w:tabs>
        <w:spacing w:line="288" w:lineRule="auto"/>
        <w:jc w:val="both"/>
        <w:rPr>
          <w:iCs/>
          <w:color w:val="000000"/>
          <w:lang w:val="da-DK"/>
        </w:rPr>
      </w:pPr>
      <w:r w:rsidRPr="009F1907">
        <w:rPr>
          <w:iCs/>
          <w:color w:val="000000"/>
          <w:lang w:val="da-DK"/>
        </w:rPr>
        <w:t xml:space="preserve">Loven træder i kraft den </w:t>
      </w:r>
      <w:r>
        <w:rPr>
          <w:iCs/>
          <w:color w:val="000000"/>
          <w:lang w:val="da-DK"/>
        </w:rPr>
        <w:t>1. juli 2015</w:t>
      </w:r>
      <w:r w:rsidRPr="009F1907">
        <w:rPr>
          <w:iCs/>
          <w:color w:val="000000"/>
          <w:lang w:val="da-DK"/>
        </w:rPr>
        <w:t>.</w:t>
      </w:r>
    </w:p>
    <w:p w:rsidR="00FE19AF" w:rsidRPr="009F1907" w:rsidRDefault="00FE19AF" w:rsidP="00FE19AF">
      <w:pPr>
        <w:tabs>
          <w:tab w:val="left" w:pos="0"/>
          <w:tab w:val="left" w:pos="284"/>
        </w:tabs>
        <w:spacing w:line="288" w:lineRule="auto"/>
        <w:rPr>
          <w:color w:val="000000"/>
          <w:lang w:val="da-DK"/>
        </w:rPr>
      </w:pPr>
    </w:p>
    <w:p w:rsidR="00FE40BF" w:rsidRDefault="00FE40BF" w:rsidP="0036355D">
      <w:pPr>
        <w:tabs>
          <w:tab w:val="left" w:pos="284"/>
        </w:tabs>
        <w:spacing w:line="288" w:lineRule="auto"/>
        <w:jc w:val="both"/>
        <w:rPr>
          <w:b/>
          <w:color w:val="000000"/>
          <w:lang w:val="da-DK"/>
        </w:rPr>
      </w:pPr>
    </w:p>
    <w:p w:rsidR="00373D00" w:rsidRPr="00C12558" w:rsidRDefault="00373D00" w:rsidP="0036355D">
      <w:pPr>
        <w:jc w:val="center"/>
        <w:rPr>
          <w:iCs/>
          <w:color w:val="000000"/>
          <w:sz w:val="28"/>
          <w:lang w:val="da-DK"/>
        </w:rPr>
      </w:pPr>
    </w:p>
    <w:p w:rsidR="00601778" w:rsidRDefault="00601778" w:rsidP="0036355D">
      <w:pPr>
        <w:jc w:val="center"/>
        <w:rPr>
          <w:i/>
          <w:iCs/>
          <w:color w:val="000000"/>
          <w:sz w:val="28"/>
          <w:lang w:val="da-DK"/>
        </w:rPr>
      </w:pPr>
    </w:p>
    <w:p w:rsidR="00A877FC" w:rsidRDefault="00A877FC" w:rsidP="00A877FC">
      <w:pPr>
        <w:pStyle w:val="Fodnotetekst"/>
      </w:pPr>
    </w:p>
    <w:p w:rsidR="00A877FC" w:rsidRDefault="00A877FC" w:rsidP="00A877FC">
      <w:pPr>
        <w:pStyle w:val="Fodnotetekst"/>
      </w:pPr>
    </w:p>
    <w:p w:rsidR="00A877FC" w:rsidRPr="00601778" w:rsidRDefault="00FE19AF" w:rsidP="00A877FC">
      <w:pPr>
        <w:pStyle w:val="Fodnotetekst"/>
      </w:pPr>
      <w:r>
        <w:br w:type="page"/>
      </w:r>
    </w:p>
    <w:p w:rsidR="0036355D" w:rsidRPr="009F1907" w:rsidRDefault="0036355D" w:rsidP="0036355D">
      <w:pPr>
        <w:jc w:val="center"/>
        <w:rPr>
          <w:i/>
          <w:iCs/>
          <w:color w:val="000000"/>
          <w:sz w:val="28"/>
          <w:lang w:val="da-DK"/>
        </w:rPr>
      </w:pPr>
      <w:r w:rsidRPr="009F1907">
        <w:rPr>
          <w:i/>
          <w:iCs/>
          <w:color w:val="000000"/>
          <w:sz w:val="28"/>
          <w:lang w:val="da-DK"/>
        </w:rPr>
        <w:t>Bemærkninger til lovforslaget</w:t>
      </w:r>
    </w:p>
    <w:p w:rsidR="0036355D" w:rsidRPr="009F1907" w:rsidRDefault="0036355D" w:rsidP="0036355D">
      <w:pPr>
        <w:pStyle w:val="Overskrift2"/>
        <w:spacing w:line="240" w:lineRule="auto"/>
        <w:jc w:val="center"/>
        <w:rPr>
          <w:rFonts w:ascii="Times New Roman" w:hAnsi="Times New Roman" w:cs="Times New Roman"/>
          <w:i/>
          <w:color w:val="000000"/>
          <w:sz w:val="24"/>
        </w:rPr>
      </w:pPr>
    </w:p>
    <w:p w:rsidR="0036355D" w:rsidRPr="009F1907" w:rsidRDefault="0036355D" w:rsidP="0036355D">
      <w:pPr>
        <w:pStyle w:val="Overskrift2"/>
        <w:spacing w:line="240" w:lineRule="auto"/>
        <w:jc w:val="center"/>
        <w:rPr>
          <w:rFonts w:ascii="Times New Roman" w:hAnsi="Times New Roman" w:cs="Times New Roman"/>
          <w:i/>
          <w:color w:val="000000"/>
          <w:sz w:val="24"/>
        </w:rPr>
      </w:pPr>
      <w:r w:rsidRPr="009F1907">
        <w:rPr>
          <w:rFonts w:ascii="Times New Roman" w:hAnsi="Times New Roman" w:cs="Times New Roman"/>
          <w:i/>
          <w:color w:val="000000"/>
          <w:sz w:val="24"/>
        </w:rPr>
        <w:t>Almindelige bemærkninger</w:t>
      </w:r>
      <w:bookmarkEnd w:id="0"/>
      <w:bookmarkEnd w:id="1"/>
      <w:bookmarkEnd w:id="2"/>
    </w:p>
    <w:p w:rsidR="0036355D" w:rsidRPr="009F1907" w:rsidRDefault="0036355D" w:rsidP="0036355D">
      <w:pPr>
        <w:jc w:val="center"/>
        <w:rPr>
          <w:i/>
          <w:iCs/>
          <w:color w:val="000000"/>
          <w:lang w:val="da-DK"/>
        </w:rPr>
      </w:pPr>
    </w:p>
    <w:p w:rsidR="0036355D" w:rsidRDefault="0036355D" w:rsidP="00FE19AF">
      <w:pPr>
        <w:spacing w:line="288" w:lineRule="auto"/>
        <w:jc w:val="both"/>
        <w:rPr>
          <w:i/>
          <w:iCs/>
          <w:color w:val="000000"/>
          <w:lang w:val="da-DK"/>
        </w:rPr>
      </w:pPr>
    </w:p>
    <w:p w:rsidR="00FE19AF" w:rsidRPr="009F1907" w:rsidRDefault="00FE19AF" w:rsidP="00FE19AF">
      <w:pPr>
        <w:spacing w:line="288" w:lineRule="auto"/>
        <w:jc w:val="both"/>
        <w:rPr>
          <w:i/>
          <w:iCs/>
          <w:color w:val="000000"/>
          <w:lang w:val="da-DK"/>
        </w:rPr>
      </w:pPr>
      <w:r w:rsidRPr="009F1907">
        <w:rPr>
          <w:i/>
          <w:iCs/>
          <w:color w:val="000000"/>
          <w:lang w:val="da-DK"/>
        </w:rPr>
        <w:t>1. Indledning</w:t>
      </w:r>
    </w:p>
    <w:p w:rsidR="00FE19AF" w:rsidRDefault="00FE19AF" w:rsidP="00FE19AF">
      <w:pPr>
        <w:spacing w:line="288" w:lineRule="auto"/>
        <w:jc w:val="both"/>
        <w:rPr>
          <w:iCs/>
          <w:color w:val="000000"/>
          <w:lang w:val="da-DK"/>
        </w:rPr>
      </w:pPr>
      <w:r>
        <w:rPr>
          <w:iCs/>
          <w:color w:val="000000"/>
          <w:lang w:val="da-DK"/>
        </w:rPr>
        <w:t>Den digitale underskudsberegning for selskaber m.v. udskydes mindst et år. Som følge heraf for</w:t>
      </w:r>
      <w:r>
        <w:rPr>
          <w:iCs/>
          <w:color w:val="000000"/>
          <w:lang w:val="da-DK"/>
        </w:rPr>
        <w:t>e</w:t>
      </w:r>
      <w:r>
        <w:rPr>
          <w:iCs/>
          <w:color w:val="000000"/>
          <w:lang w:val="da-DK"/>
        </w:rPr>
        <w:t>slås det at udskyde selvangivelsesfristerne for indkomstårene 2014 og 2015, ændre sanktionen om fortabelse af underskud</w:t>
      </w:r>
      <w:r w:rsidR="00EC1625">
        <w:rPr>
          <w:iCs/>
          <w:color w:val="000000"/>
          <w:lang w:val="da-DK"/>
        </w:rPr>
        <w:t xml:space="preserve"> til et tillæg og</w:t>
      </w:r>
      <w:r>
        <w:rPr>
          <w:iCs/>
          <w:color w:val="000000"/>
          <w:lang w:val="da-DK"/>
        </w:rPr>
        <w:t xml:space="preserve"> bemyndige skatteministeren til at undtage visse </w:t>
      </w:r>
      <w:r w:rsidR="000A0922">
        <w:rPr>
          <w:iCs/>
          <w:color w:val="000000"/>
          <w:lang w:val="da-DK"/>
        </w:rPr>
        <w:t xml:space="preserve">konkrete </w:t>
      </w:r>
      <w:r>
        <w:rPr>
          <w:iCs/>
          <w:color w:val="000000"/>
          <w:lang w:val="da-DK"/>
        </w:rPr>
        <w:t>selskab</w:t>
      </w:r>
      <w:r w:rsidR="000A0922">
        <w:rPr>
          <w:iCs/>
          <w:color w:val="000000"/>
          <w:lang w:val="da-DK"/>
        </w:rPr>
        <w:t>styper</w:t>
      </w:r>
      <w:r>
        <w:rPr>
          <w:iCs/>
          <w:color w:val="000000"/>
          <w:lang w:val="da-DK"/>
        </w:rPr>
        <w:t xml:space="preserve"> m.v. fra pligten til at engangsregistrere underskud m.v. </w:t>
      </w:r>
    </w:p>
    <w:p w:rsidR="00FE19AF" w:rsidRPr="00733532" w:rsidRDefault="00FE19AF" w:rsidP="00FE19AF">
      <w:pPr>
        <w:spacing w:line="288" w:lineRule="auto"/>
        <w:jc w:val="both"/>
        <w:rPr>
          <w:iCs/>
          <w:color w:val="000000"/>
          <w:lang w:val="da-DK"/>
        </w:rPr>
      </w:pPr>
    </w:p>
    <w:p w:rsidR="00FE19AF" w:rsidRPr="009F1907" w:rsidRDefault="00FE19AF" w:rsidP="00FE19AF">
      <w:pPr>
        <w:spacing w:line="288" w:lineRule="auto"/>
        <w:jc w:val="both"/>
        <w:rPr>
          <w:i/>
          <w:iCs/>
          <w:color w:val="000000"/>
          <w:lang w:val="da-DK"/>
        </w:rPr>
      </w:pPr>
      <w:r w:rsidRPr="009F1907">
        <w:rPr>
          <w:i/>
          <w:iCs/>
          <w:color w:val="000000"/>
          <w:lang w:val="da-DK"/>
        </w:rPr>
        <w:t xml:space="preserve">2. Lovforslagets formål og baggrund </w:t>
      </w:r>
    </w:p>
    <w:p w:rsidR="00FE19AF" w:rsidRPr="00AE4685" w:rsidRDefault="00FE19AF" w:rsidP="00FE19AF">
      <w:pPr>
        <w:spacing w:line="288" w:lineRule="auto"/>
        <w:jc w:val="both"/>
        <w:rPr>
          <w:iCs/>
          <w:color w:val="000000"/>
          <w:lang w:val="da-DK"/>
        </w:rPr>
      </w:pPr>
      <w:r w:rsidRPr="00AE4685">
        <w:rPr>
          <w:iCs/>
          <w:color w:val="000000"/>
          <w:lang w:val="da-DK"/>
        </w:rPr>
        <w:t>SKAT har igangsat udviklingen af en digital selvangivelsesløsning. Selvangivelsesløsningen skal tages i brug fra og med indkomståret 2014 og har sammenhæng med udviklingen af det digitale underskudsregister. Det digitale underskudsregister åbnede i oktober 2014 for indberetning af hist</w:t>
      </w:r>
      <w:r w:rsidRPr="00AE4685">
        <w:rPr>
          <w:iCs/>
          <w:color w:val="000000"/>
          <w:lang w:val="da-DK"/>
        </w:rPr>
        <w:t>o</w:t>
      </w:r>
      <w:r w:rsidRPr="00AE4685">
        <w:rPr>
          <w:iCs/>
          <w:color w:val="000000"/>
          <w:lang w:val="da-DK"/>
        </w:rPr>
        <w:t>riske underskud for indkomstårene 2002-2013. Efter planen skulle selvangivelsesløsningen for in</w:t>
      </w:r>
      <w:r w:rsidRPr="00AE4685">
        <w:rPr>
          <w:iCs/>
          <w:color w:val="000000"/>
          <w:lang w:val="da-DK"/>
        </w:rPr>
        <w:t>d</w:t>
      </w:r>
      <w:r w:rsidRPr="00AE4685">
        <w:rPr>
          <w:iCs/>
          <w:color w:val="000000"/>
          <w:lang w:val="da-DK"/>
        </w:rPr>
        <w:t>komståret 2014 åbne i marts 2015.</w:t>
      </w:r>
    </w:p>
    <w:p w:rsidR="00FE19AF" w:rsidRPr="00AE4685" w:rsidRDefault="00FE19AF" w:rsidP="00FE19AF">
      <w:pPr>
        <w:spacing w:line="288" w:lineRule="auto"/>
        <w:jc w:val="both"/>
        <w:rPr>
          <w:iCs/>
          <w:color w:val="000000"/>
          <w:lang w:val="da-DK"/>
        </w:rPr>
      </w:pPr>
    </w:p>
    <w:p w:rsidR="00FE19AF" w:rsidRPr="00AE4685" w:rsidRDefault="00FE19AF" w:rsidP="00FE19AF">
      <w:pPr>
        <w:spacing w:line="288" w:lineRule="auto"/>
        <w:jc w:val="both"/>
        <w:rPr>
          <w:iCs/>
          <w:color w:val="000000"/>
          <w:lang w:val="da-DK"/>
        </w:rPr>
      </w:pPr>
      <w:r w:rsidRPr="00AE4685">
        <w:rPr>
          <w:iCs/>
          <w:color w:val="000000"/>
          <w:lang w:val="da-DK"/>
        </w:rPr>
        <w:t>For at lette indberetningen af både underskud for indkomstårene 2002-2013 og selvangivelsen for indkomståret 2014 er selvangivelsesfristen for alle selskaber</w:t>
      </w:r>
      <w:r>
        <w:rPr>
          <w:iCs/>
          <w:color w:val="000000"/>
          <w:lang w:val="da-DK"/>
        </w:rPr>
        <w:t xml:space="preserve"> m.v. </w:t>
      </w:r>
      <w:r w:rsidRPr="00AE4685">
        <w:rPr>
          <w:iCs/>
          <w:color w:val="000000"/>
          <w:lang w:val="da-DK"/>
        </w:rPr>
        <w:t>udskudt til</w:t>
      </w:r>
      <w:r>
        <w:rPr>
          <w:iCs/>
          <w:color w:val="000000"/>
          <w:lang w:val="da-DK"/>
        </w:rPr>
        <w:t xml:space="preserve"> den</w:t>
      </w:r>
      <w:r w:rsidRPr="00AE4685">
        <w:rPr>
          <w:iCs/>
          <w:color w:val="000000"/>
          <w:lang w:val="da-DK"/>
        </w:rPr>
        <w:t xml:space="preserve"> 1. august 2015. Udskydelsen af selvangivelsesfristen blev vedtaget ved lov nr. 528 af 28. maj 2014 (L 144</w:t>
      </w:r>
      <w:r>
        <w:rPr>
          <w:iCs/>
          <w:color w:val="000000"/>
          <w:lang w:val="da-DK"/>
        </w:rPr>
        <w:t xml:space="preserve"> - folk</w:t>
      </w:r>
      <w:r>
        <w:rPr>
          <w:iCs/>
          <w:color w:val="000000"/>
          <w:lang w:val="da-DK"/>
        </w:rPr>
        <w:t>e</w:t>
      </w:r>
      <w:r>
        <w:rPr>
          <w:iCs/>
          <w:color w:val="000000"/>
          <w:lang w:val="da-DK"/>
        </w:rPr>
        <w:t>tingsåret 2013-14</w:t>
      </w:r>
      <w:r w:rsidRPr="00AE4685">
        <w:rPr>
          <w:iCs/>
          <w:color w:val="000000"/>
          <w:lang w:val="da-DK"/>
        </w:rPr>
        <w:t>). Med udskydelsen af fristen ville alle selskaber</w:t>
      </w:r>
      <w:r>
        <w:rPr>
          <w:iCs/>
          <w:color w:val="000000"/>
          <w:lang w:val="da-DK"/>
        </w:rPr>
        <w:t xml:space="preserve"> m.v.</w:t>
      </w:r>
      <w:r w:rsidRPr="00AE4685">
        <w:rPr>
          <w:iCs/>
          <w:color w:val="000000"/>
          <w:lang w:val="da-DK"/>
        </w:rPr>
        <w:t xml:space="preserve"> få 4-5 måneder til at indb</w:t>
      </w:r>
      <w:r w:rsidRPr="00AE4685">
        <w:rPr>
          <w:iCs/>
          <w:color w:val="000000"/>
          <w:lang w:val="da-DK"/>
        </w:rPr>
        <w:t>e</w:t>
      </w:r>
      <w:r w:rsidRPr="00AE4685">
        <w:rPr>
          <w:iCs/>
          <w:color w:val="000000"/>
          <w:lang w:val="da-DK"/>
        </w:rPr>
        <w:t xml:space="preserve">rette historiske underskud samt selvangive for indkomståret 2014 i én arbejdsgang. </w:t>
      </w:r>
    </w:p>
    <w:p w:rsidR="00FE19AF" w:rsidRPr="00AE4685"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sidRPr="00AE4685">
        <w:rPr>
          <w:iCs/>
          <w:color w:val="000000"/>
          <w:lang w:val="da-DK"/>
        </w:rPr>
        <w:t>SKATs projekt (DIAS), der forestår udviklingen af digitaliseringen af selskabsskabsskatten, har været nødsaget til at udskyde selvangivelsesløsningen, som efter planen skulle være åbnet i mar</w:t>
      </w:r>
      <w:r>
        <w:rPr>
          <w:iCs/>
          <w:color w:val="000000"/>
          <w:lang w:val="da-DK"/>
        </w:rPr>
        <w:t>ts 2015, til i stedet at åbne primo maj</w:t>
      </w:r>
      <w:r w:rsidRPr="00AE4685">
        <w:rPr>
          <w:iCs/>
          <w:color w:val="000000"/>
          <w:lang w:val="da-DK"/>
        </w:rPr>
        <w:t xml:space="preserve"> 2015.</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 xml:space="preserve">Herudover har DIAS været nødsaget til at ændre og udskyde den del af løsningen, som skal beregne </w:t>
      </w:r>
      <w:r w:rsidR="000D780A">
        <w:rPr>
          <w:iCs/>
          <w:color w:val="000000"/>
          <w:lang w:val="da-DK"/>
        </w:rPr>
        <w:t>selskaberne m.v.s</w:t>
      </w:r>
      <w:r>
        <w:rPr>
          <w:iCs/>
          <w:color w:val="000000"/>
          <w:lang w:val="da-DK"/>
        </w:rPr>
        <w:t xml:space="preserve"> underskudsanvendelse. Ændringen indebærer, at DIAS ikke fuldt ud vil overtage beregningen af underskud, men alene foreslå en </w:t>
      </w:r>
      <w:r w:rsidR="0016634D">
        <w:rPr>
          <w:iCs/>
          <w:color w:val="000000"/>
          <w:lang w:val="da-DK"/>
        </w:rPr>
        <w:t xml:space="preserve">konkret </w:t>
      </w:r>
      <w:r>
        <w:rPr>
          <w:iCs/>
          <w:color w:val="000000"/>
          <w:lang w:val="da-DK"/>
        </w:rPr>
        <w:t>underskudsanvendelse. Udskydelsen ind</w:t>
      </w:r>
      <w:r>
        <w:rPr>
          <w:iCs/>
          <w:color w:val="000000"/>
          <w:lang w:val="da-DK"/>
        </w:rPr>
        <w:t>e</w:t>
      </w:r>
      <w:r>
        <w:rPr>
          <w:iCs/>
          <w:color w:val="000000"/>
          <w:lang w:val="da-DK"/>
        </w:rPr>
        <w:t>bærer, at beregningsmodulet udskydes mindst et år. Dermed sigtes der efter at tage beregningsm</w:t>
      </w:r>
      <w:r>
        <w:rPr>
          <w:iCs/>
          <w:color w:val="000000"/>
          <w:lang w:val="da-DK"/>
        </w:rPr>
        <w:t>o</w:t>
      </w:r>
      <w:r>
        <w:rPr>
          <w:iCs/>
          <w:color w:val="000000"/>
          <w:lang w:val="da-DK"/>
        </w:rPr>
        <w:t xml:space="preserve">dulet delvist i brug fra og med indkomståret 2015, således at en del af selskaberne m.v. vil kunne få et forslag til </w:t>
      </w:r>
      <w:r w:rsidR="00024CF5">
        <w:rPr>
          <w:iCs/>
          <w:color w:val="000000"/>
          <w:lang w:val="da-DK"/>
        </w:rPr>
        <w:t xml:space="preserve">en </w:t>
      </w:r>
      <w:r w:rsidR="0016634D">
        <w:rPr>
          <w:iCs/>
          <w:color w:val="000000"/>
          <w:lang w:val="da-DK"/>
        </w:rPr>
        <w:t>konkret</w:t>
      </w:r>
      <w:r>
        <w:rPr>
          <w:iCs/>
          <w:color w:val="000000"/>
          <w:lang w:val="da-DK"/>
        </w:rPr>
        <w:t xml:space="preserve"> underskudsberegning. </w:t>
      </w:r>
    </w:p>
    <w:p w:rsidR="00FE19AF" w:rsidRDefault="00FE19AF" w:rsidP="00FE19AF">
      <w:pPr>
        <w:spacing w:line="288" w:lineRule="auto"/>
        <w:jc w:val="both"/>
        <w:rPr>
          <w:iCs/>
          <w:color w:val="000000"/>
          <w:lang w:val="da-DK"/>
        </w:rPr>
      </w:pPr>
    </w:p>
    <w:p w:rsidR="00FE19AF" w:rsidRPr="00AE4685" w:rsidRDefault="00FE19AF" w:rsidP="00FE19AF">
      <w:pPr>
        <w:spacing w:line="288" w:lineRule="auto"/>
        <w:jc w:val="both"/>
        <w:rPr>
          <w:iCs/>
          <w:color w:val="000000"/>
          <w:lang w:val="da-DK"/>
        </w:rPr>
      </w:pPr>
      <w:r>
        <w:rPr>
          <w:iCs/>
          <w:color w:val="000000"/>
          <w:lang w:val="da-DK"/>
        </w:rPr>
        <w:t xml:space="preserve">Udviklingen af underskudsberegningsmodulet har vist, at det ikke i alle tilfælde vil være muligt for DIAS at foreslå en </w:t>
      </w:r>
      <w:r w:rsidR="0016634D">
        <w:rPr>
          <w:iCs/>
          <w:color w:val="000000"/>
          <w:lang w:val="da-DK"/>
        </w:rPr>
        <w:t>konkret</w:t>
      </w:r>
      <w:r>
        <w:rPr>
          <w:iCs/>
          <w:color w:val="000000"/>
          <w:lang w:val="da-DK"/>
        </w:rPr>
        <w:t xml:space="preserve"> underskudsberegning. Løsningen forventes således ikke at kunne omfa</w:t>
      </w:r>
      <w:r>
        <w:rPr>
          <w:iCs/>
          <w:color w:val="000000"/>
          <w:lang w:val="da-DK"/>
        </w:rPr>
        <w:t>t</w:t>
      </w:r>
      <w:r>
        <w:rPr>
          <w:iCs/>
          <w:color w:val="000000"/>
          <w:lang w:val="da-DK"/>
        </w:rPr>
        <w:t>te f.eks. selskaber m.v.</w:t>
      </w:r>
      <w:r w:rsidR="00A424D7">
        <w:rPr>
          <w:iCs/>
          <w:color w:val="000000"/>
          <w:lang w:val="da-DK"/>
        </w:rPr>
        <w:t>,</w:t>
      </w:r>
      <w:r>
        <w:rPr>
          <w:iCs/>
          <w:color w:val="000000"/>
          <w:lang w:val="da-DK"/>
        </w:rPr>
        <w:t xml:space="preserve"> som alene er skattepligtige af tilknyttet virksomhed efter kulbrinteskattel</w:t>
      </w:r>
      <w:r>
        <w:rPr>
          <w:iCs/>
          <w:color w:val="000000"/>
          <w:lang w:val="da-DK"/>
        </w:rPr>
        <w:t>o</w:t>
      </w:r>
      <w:r>
        <w:rPr>
          <w:iCs/>
          <w:color w:val="000000"/>
          <w:lang w:val="da-DK"/>
        </w:rPr>
        <w:t>ven, eller selskaber m.v. som i indkomståret har opnået gældseftergivelse eller bortset fra underskud efter særreglerne herom.</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Med lovforslaget foreslås det at udskyde selvangivelsesfristerne for selskaber m.v. for indkomstår</w:t>
      </w:r>
      <w:r>
        <w:rPr>
          <w:iCs/>
          <w:color w:val="000000"/>
          <w:lang w:val="da-DK"/>
        </w:rPr>
        <w:t>e</w:t>
      </w:r>
      <w:r>
        <w:rPr>
          <w:iCs/>
          <w:color w:val="000000"/>
          <w:lang w:val="da-DK"/>
        </w:rPr>
        <w:t>ne 2014 og 2015 til den 1. september 2015 (indkomståret 2014), henholdsvis den 1. september 2016 (indkomståret 2015), samt at lempe den gældende sanktion</w:t>
      </w:r>
      <w:r w:rsidR="00A424D7">
        <w:rPr>
          <w:iCs/>
          <w:color w:val="000000"/>
          <w:lang w:val="da-DK"/>
        </w:rPr>
        <w:t>,</w:t>
      </w:r>
      <w:r>
        <w:rPr>
          <w:iCs/>
          <w:color w:val="000000"/>
          <w:lang w:val="da-DK"/>
        </w:rPr>
        <w:t xml:space="preserve"> hvorefter selskaber m.v. fortaber retten til at anvende underskud, såfremt disse ikke registreres hos SKAT. Det foreslås, at manglende reg</w:t>
      </w:r>
      <w:r>
        <w:rPr>
          <w:iCs/>
          <w:color w:val="000000"/>
          <w:lang w:val="da-DK"/>
        </w:rPr>
        <w:t>i</w:t>
      </w:r>
      <w:r>
        <w:rPr>
          <w:iCs/>
          <w:color w:val="000000"/>
          <w:lang w:val="da-DK"/>
        </w:rPr>
        <w:t xml:space="preserve">strering af underskud alene medfører, at selskaberne m.v. pålægges et tillæg på 5.000 kr. </w:t>
      </w:r>
      <w:r w:rsidR="00E9516E">
        <w:rPr>
          <w:iCs/>
          <w:color w:val="000000"/>
          <w:lang w:val="da-DK"/>
        </w:rPr>
        <w:t>til skatt</w:t>
      </w:r>
      <w:r w:rsidR="00E9516E">
        <w:rPr>
          <w:iCs/>
          <w:color w:val="000000"/>
          <w:lang w:val="da-DK"/>
        </w:rPr>
        <w:t>e</w:t>
      </w:r>
      <w:r w:rsidR="00E9516E">
        <w:rPr>
          <w:iCs/>
          <w:color w:val="000000"/>
          <w:lang w:val="da-DK"/>
        </w:rPr>
        <w:t xml:space="preserve">betalingen. </w:t>
      </w:r>
      <w:r>
        <w:rPr>
          <w:iCs/>
          <w:color w:val="000000"/>
          <w:lang w:val="da-DK"/>
        </w:rPr>
        <w:t>Herudover foreslås det, at skatteministeren kan fastsætte regler om at undtage visse</w:t>
      </w:r>
      <w:r w:rsidR="004B5067">
        <w:rPr>
          <w:iCs/>
          <w:color w:val="000000"/>
          <w:lang w:val="da-DK"/>
        </w:rPr>
        <w:t xml:space="preserve"> helt </w:t>
      </w:r>
      <w:r w:rsidR="000A0922">
        <w:rPr>
          <w:iCs/>
          <w:color w:val="000000"/>
          <w:lang w:val="da-DK"/>
        </w:rPr>
        <w:t>konkrete</w:t>
      </w:r>
      <w:r>
        <w:rPr>
          <w:iCs/>
          <w:color w:val="000000"/>
          <w:lang w:val="da-DK"/>
        </w:rPr>
        <w:t xml:space="preserve"> selskab</w:t>
      </w:r>
      <w:r w:rsidR="004B5067">
        <w:rPr>
          <w:iCs/>
          <w:color w:val="000000"/>
          <w:lang w:val="da-DK"/>
        </w:rPr>
        <w:t>styper</w:t>
      </w:r>
      <w:r>
        <w:rPr>
          <w:iCs/>
          <w:color w:val="000000"/>
          <w:lang w:val="da-DK"/>
        </w:rPr>
        <w:t xml:space="preserve"> m.v. fra pligten til at registrere underskud</w:t>
      </w:r>
      <w:r w:rsidR="004B5067">
        <w:rPr>
          <w:iCs/>
          <w:color w:val="000000"/>
          <w:lang w:val="da-DK"/>
        </w:rPr>
        <w:t>, hvis disse ikke kan håndteres i underskudsregisteret</w:t>
      </w:r>
      <w:r>
        <w:rPr>
          <w:iCs/>
          <w:color w:val="000000"/>
          <w:lang w:val="da-DK"/>
        </w:rPr>
        <w:t>.</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 xml:space="preserve">De foreslåede ændringer skal sikre, at der i videst muligt omfang tages hensyn til </w:t>
      </w:r>
      <w:r w:rsidR="000D780A">
        <w:rPr>
          <w:iCs/>
          <w:color w:val="000000"/>
          <w:lang w:val="da-DK"/>
        </w:rPr>
        <w:t>selskaberne m.v.s</w:t>
      </w:r>
      <w:r>
        <w:rPr>
          <w:iCs/>
          <w:color w:val="000000"/>
          <w:lang w:val="da-DK"/>
        </w:rPr>
        <w:t xml:space="preserve"> forhold, således at disse ikke får </w:t>
      </w:r>
      <w:r w:rsidR="000D780A">
        <w:rPr>
          <w:iCs/>
          <w:color w:val="000000"/>
          <w:lang w:val="da-DK"/>
        </w:rPr>
        <w:t xml:space="preserve">væsentligt </w:t>
      </w:r>
      <w:r>
        <w:rPr>
          <w:iCs/>
          <w:color w:val="000000"/>
          <w:lang w:val="da-DK"/>
        </w:rPr>
        <w:t xml:space="preserve">kortere tid til at </w:t>
      </w:r>
      <w:r w:rsidR="000D780A">
        <w:rPr>
          <w:iCs/>
          <w:color w:val="000000"/>
          <w:lang w:val="da-DK"/>
        </w:rPr>
        <w:t>selvangive og engangsregistrere unde</w:t>
      </w:r>
      <w:r w:rsidR="000D780A">
        <w:rPr>
          <w:iCs/>
          <w:color w:val="000000"/>
          <w:lang w:val="da-DK"/>
        </w:rPr>
        <w:t>r</w:t>
      </w:r>
      <w:r w:rsidR="000D780A">
        <w:rPr>
          <w:iCs/>
          <w:color w:val="000000"/>
          <w:lang w:val="da-DK"/>
        </w:rPr>
        <w:t>skud i én arbejdsgang</w:t>
      </w:r>
      <w:r>
        <w:rPr>
          <w:iCs/>
          <w:color w:val="000000"/>
          <w:lang w:val="da-DK"/>
        </w:rPr>
        <w:t>.</w:t>
      </w:r>
      <w:r w:rsidR="002B5680">
        <w:rPr>
          <w:iCs/>
          <w:color w:val="000000"/>
          <w:lang w:val="da-DK"/>
        </w:rPr>
        <w:t xml:space="preserve"> D</w:t>
      </w:r>
      <w:r w:rsidR="000D780A">
        <w:rPr>
          <w:iCs/>
          <w:color w:val="000000"/>
          <w:lang w:val="da-DK"/>
        </w:rPr>
        <w:t>e foreslåede ændringer indebærer tillige</w:t>
      </w:r>
      <w:r w:rsidR="002B5680">
        <w:rPr>
          <w:iCs/>
          <w:color w:val="000000"/>
          <w:lang w:val="da-DK"/>
        </w:rPr>
        <w:t>,</w:t>
      </w:r>
      <w:r>
        <w:rPr>
          <w:iCs/>
          <w:color w:val="000000"/>
          <w:lang w:val="da-DK"/>
        </w:rPr>
        <w:t xml:space="preserve"> at selskaberne m.v. ikke pålægges en sanktion, som står i misforhold til den administrative gevinst som selskaberne m.v. på sigt vil opleve</w:t>
      </w:r>
      <w:r w:rsidR="002B5680">
        <w:rPr>
          <w:iCs/>
          <w:color w:val="000000"/>
          <w:lang w:val="da-DK"/>
        </w:rPr>
        <w:t>.</w:t>
      </w:r>
      <w:r>
        <w:rPr>
          <w:iCs/>
          <w:color w:val="000000"/>
          <w:lang w:val="da-DK"/>
        </w:rPr>
        <w:t xml:space="preserve"> </w:t>
      </w:r>
      <w:r w:rsidR="002B5680">
        <w:rPr>
          <w:iCs/>
          <w:color w:val="000000"/>
          <w:lang w:val="da-DK"/>
        </w:rPr>
        <w:t>Samtidig opretholdes</w:t>
      </w:r>
      <w:r>
        <w:rPr>
          <w:iCs/>
          <w:color w:val="000000"/>
          <w:lang w:val="da-DK"/>
        </w:rPr>
        <w:t xml:space="preserve"> den kontrolmæssige gevinst det er for SKAT at få overblik over de ca. 300 mia. kr. i</w:t>
      </w:r>
      <w:r w:rsidR="00ED5A7A">
        <w:rPr>
          <w:iCs/>
          <w:color w:val="000000"/>
          <w:lang w:val="da-DK"/>
        </w:rPr>
        <w:t xml:space="preserve"> registrerede </w:t>
      </w:r>
      <w:r>
        <w:rPr>
          <w:iCs/>
          <w:color w:val="000000"/>
          <w:lang w:val="da-DK"/>
        </w:rPr>
        <w:t>fremførselsberettigede underskud, hvilket er en del af formålet med u</w:t>
      </w:r>
      <w:r>
        <w:rPr>
          <w:iCs/>
          <w:color w:val="000000"/>
          <w:lang w:val="da-DK"/>
        </w:rPr>
        <w:t>n</w:t>
      </w:r>
      <w:r>
        <w:rPr>
          <w:iCs/>
          <w:color w:val="000000"/>
          <w:lang w:val="da-DK"/>
        </w:rPr>
        <w:t xml:space="preserve">derskudsregisteret.   </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Som følge af udskydelsen af underskudsberegningsmodulet, herunder den manglende endelige a</w:t>
      </w:r>
      <w:r>
        <w:rPr>
          <w:iCs/>
          <w:color w:val="000000"/>
          <w:lang w:val="da-DK"/>
        </w:rPr>
        <w:t>f</w:t>
      </w:r>
      <w:r>
        <w:rPr>
          <w:iCs/>
          <w:color w:val="000000"/>
          <w:lang w:val="da-DK"/>
        </w:rPr>
        <w:t>klaring af, hvor mange og hvilke typer af selskaber m.v. som kan håndteres af</w:t>
      </w:r>
      <w:r w:rsidR="004B5067">
        <w:rPr>
          <w:iCs/>
          <w:color w:val="000000"/>
          <w:lang w:val="da-DK"/>
        </w:rPr>
        <w:t xml:space="preserve"> underskudsregisteret og</w:t>
      </w:r>
      <w:r>
        <w:rPr>
          <w:iCs/>
          <w:color w:val="000000"/>
          <w:lang w:val="da-DK"/>
        </w:rPr>
        <w:t xml:space="preserve"> underskudsberegningsmodulet, forventes</w:t>
      </w:r>
      <w:r w:rsidR="00177CC8">
        <w:rPr>
          <w:iCs/>
          <w:color w:val="000000"/>
          <w:lang w:val="da-DK"/>
        </w:rPr>
        <w:t xml:space="preserve"> bl.a.</w:t>
      </w:r>
      <w:r>
        <w:rPr>
          <w:iCs/>
          <w:color w:val="000000"/>
          <w:lang w:val="da-DK"/>
        </w:rPr>
        <w:t xml:space="preserve"> bekendtgørelse nr. 1037 af 26. september 2014 om registrering af underskud m.v. og bekendtgørelse nr. 977 af 26. august 2014 om sambeskatning af selskaber m.v. at bliver ændret. Ændringerne skal understøtte de for</w:t>
      </w:r>
      <w:r w:rsidR="00A424D7">
        <w:rPr>
          <w:iCs/>
          <w:color w:val="000000"/>
          <w:lang w:val="da-DK"/>
        </w:rPr>
        <w:t>e</w:t>
      </w:r>
      <w:r>
        <w:rPr>
          <w:iCs/>
          <w:color w:val="000000"/>
          <w:lang w:val="da-DK"/>
        </w:rPr>
        <w:t>slåede ændringer i nærv</w:t>
      </w:r>
      <w:r>
        <w:rPr>
          <w:iCs/>
          <w:color w:val="000000"/>
          <w:lang w:val="da-DK"/>
        </w:rPr>
        <w:t>æ</w:t>
      </w:r>
      <w:r>
        <w:rPr>
          <w:iCs/>
          <w:color w:val="000000"/>
          <w:lang w:val="da-DK"/>
        </w:rPr>
        <w:t>rende lovforslag.</w:t>
      </w:r>
    </w:p>
    <w:p w:rsidR="00FE19AF" w:rsidRDefault="00FE19AF" w:rsidP="00FE19AF">
      <w:pPr>
        <w:spacing w:line="288" w:lineRule="auto"/>
        <w:jc w:val="both"/>
        <w:rPr>
          <w:iCs/>
          <w:color w:val="000000"/>
          <w:lang w:val="da-DK"/>
        </w:rPr>
      </w:pPr>
      <w:r>
        <w:rPr>
          <w:iCs/>
          <w:color w:val="000000"/>
          <w:lang w:val="da-DK"/>
        </w:rPr>
        <w:t xml:space="preserve"> </w:t>
      </w:r>
    </w:p>
    <w:p w:rsidR="00FE19AF" w:rsidRPr="00081D83" w:rsidRDefault="00FE19AF" w:rsidP="00FE19AF">
      <w:pPr>
        <w:spacing w:line="288" w:lineRule="auto"/>
        <w:jc w:val="both"/>
        <w:rPr>
          <w:iCs/>
          <w:color w:val="000000"/>
          <w:lang w:val="da-DK"/>
        </w:rPr>
      </w:pPr>
      <w:r w:rsidRPr="009F1907">
        <w:rPr>
          <w:i/>
          <w:iCs/>
          <w:color w:val="000000"/>
          <w:lang w:val="da-DK"/>
        </w:rPr>
        <w:t>3. Gældende ret</w:t>
      </w:r>
    </w:p>
    <w:p w:rsidR="00FE19AF" w:rsidRDefault="00FE19AF" w:rsidP="00FE19AF">
      <w:pPr>
        <w:spacing w:line="288" w:lineRule="auto"/>
        <w:jc w:val="both"/>
        <w:rPr>
          <w:iCs/>
          <w:color w:val="000000"/>
          <w:lang w:val="da-DK"/>
        </w:rPr>
      </w:pPr>
      <w:r>
        <w:rPr>
          <w:iCs/>
          <w:color w:val="000000"/>
          <w:lang w:val="da-DK"/>
        </w:rPr>
        <w:t>Ved lov nr. 528 af 28. maj 2014 blev selskaber m.v. pålagt at engangsregistrere deres underskud m.v. Hvis underskud ikke indberettes rettidigt, fortabes de. Der er ved bekendtgørelse nr. 1037 af 26. september 2014 om registrering af underskud m.v. fastsat regler om indberetningsperioden, hvorledes underskuddene skal specificeres, og at underskud skal registreres for indkomstårene 2002-2013. Indberetningsperioden udløber den 1. august 2015.</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sidRPr="00A77DC9">
        <w:rPr>
          <w:iCs/>
          <w:color w:val="000000"/>
          <w:lang w:val="da-DK"/>
        </w:rPr>
        <w:t>Det følger af skattekontrollovens § 4, stk. 2, at juridiske</w:t>
      </w:r>
      <w:r>
        <w:rPr>
          <w:iCs/>
          <w:color w:val="000000"/>
          <w:lang w:val="da-DK"/>
        </w:rPr>
        <w:t xml:space="preserve"> </w:t>
      </w:r>
      <w:r w:rsidRPr="00A77DC9">
        <w:rPr>
          <w:iCs/>
          <w:color w:val="000000"/>
          <w:lang w:val="da-DK"/>
        </w:rPr>
        <w:t>personer skal selvangive senest 6 måneder efter indkomstårets</w:t>
      </w:r>
      <w:r>
        <w:rPr>
          <w:iCs/>
          <w:color w:val="000000"/>
          <w:lang w:val="da-DK"/>
        </w:rPr>
        <w:t xml:space="preserve"> </w:t>
      </w:r>
      <w:r w:rsidRPr="00A77DC9">
        <w:rPr>
          <w:iCs/>
          <w:color w:val="000000"/>
          <w:lang w:val="da-DK"/>
        </w:rPr>
        <w:t>udløb.</w:t>
      </w:r>
    </w:p>
    <w:p w:rsidR="00FE19AF" w:rsidRDefault="00FE19AF" w:rsidP="00FE19AF">
      <w:pPr>
        <w:spacing w:line="288" w:lineRule="auto"/>
        <w:jc w:val="both"/>
        <w:rPr>
          <w:iCs/>
          <w:color w:val="000000"/>
          <w:lang w:val="da-DK"/>
        </w:rPr>
      </w:pPr>
    </w:p>
    <w:p w:rsidR="00FE19AF" w:rsidRPr="00081D83" w:rsidRDefault="00FE19AF" w:rsidP="00FE19AF">
      <w:pPr>
        <w:spacing w:line="288" w:lineRule="auto"/>
        <w:jc w:val="both"/>
        <w:rPr>
          <w:iCs/>
          <w:color w:val="000000"/>
          <w:lang w:val="da-DK"/>
        </w:rPr>
      </w:pPr>
      <w:r>
        <w:rPr>
          <w:iCs/>
          <w:color w:val="000000"/>
          <w:lang w:val="da-DK"/>
        </w:rPr>
        <w:t>I ikrafttrædelsesbestemmelsen til lov nr. 528 af 28. maj 2014 er det fastsat, at juridiske</w:t>
      </w:r>
      <w:r w:rsidRPr="00081D83">
        <w:rPr>
          <w:iCs/>
          <w:color w:val="000000"/>
          <w:lang w:val="da-DK"/>
        </w:rPr>
        <w:t xml:space="preserve"> personer, som efter skattekontrollovens</w:t>
      </w:r>
      <w:r>
        <w:rPr>
          <w:iCs/>
          <w:color w:val="000000"/>
          <w:lang w:val="da-DK"/>
        </w:rPr>
        <w:t xml:space="preserve"> </w:t>
      </w:r>
      <w:r w:rsidRPr="00081D83">
        <w:rPr>
          <w:iCs/>
          <w:color w:val="000000"/>
          <w:lang w:val="da-DK"/>
        </w:rPr>
        <w:t>§ 4, stk. 2, skal indgive selvangivelse i perioden fra den 1.</w:t>
      </w:r>
      <w:r>
        <w:rPr>
          <w:iCs/>
          <w:color w:val="000000"/>
          <w:lang w:val="da-DK"/>
        </w:rPr>
        <w:t xml:space="preserve"> </w:t>
      </w:r>
      <w:r w:rsidRPr="00081D83">
        <w:rPr>
          <w:iCs/>
          <w:color w:val="000000"/>
          <w:lang w:val="da-DK"/>
        </w:rPr>
        <w:t>oktober til den 31. juli efter indkomstårets udløb, kan vente med at indgive selvangivelse for indkomståret</w:t>
      </w:r>
      <w:r>
        <w:rPr>
          <w:iCs/>
          <w:color w:val="000000"/>
          <w:lang w:val="da-DK"/>
        </w:rPr>
        <w:t xml:space="preserve"> </w:t>
      </w:r>
      <w:r w:rsidRPr="00081D83">
        <w:rPr>
          <w:iCs/>
          <w:color w:val="000000"/>
          <w:lang w:val="da-DK"/>
        </w:rPr>
        <w:t>til den 1. august i året efter indkomstårets udløb.</w:t>
      </w:r>
      <w:r>
        <w:rPr>
          <w:iCs/>
          <w:color w:val="000000"/>
          <w:lang w:val="da-DK"/>
        </w:rPr>
        <w:t xml:space="preserve"> Det er en betingelse, at </w:t>
      </w:r>
      <w:r w:rsidRPr="00081D83">
        <w:rPr>
          <w:iCs/>
          <w:color w:val="000000"/>
          <w:lang w:val="da-DK"/>
        </w:rPr>
        <w:t>selvangivelsesfristen for in</w:t>
      </w:r>
      <w:r w:rsidRPr="00081D83">
        <w:rPr>
          <w:iCs/>
          <w:color w:val="000000"/>
          <w:lang w:val="da-DK"/>
        </w:rPr>
        <w:t>d</w:t>
      </w:r>
      <w:r w:rsidRPr="00081D83">
        <w:rPr>
          <w:iCs/>
          <w:color w:val="000000"/>
          <w:lang w:val="da-DK"/>
        </w:rPr>
        <w:t>komståret udløber i den periode,</w:t>
      </w:r>
      <w:r>
        <w:rPr>
          <w:iCs/>
          <w:color w:val="000000"/>
          <w:lang w:val="da-DK"/>
        </w:rPr>
        <w:t xml:space="preserve"> </w:t>
      </w:r>
      <w:r w:rsidRPr="00081D83">
        <w:rPr>
          <w:iCs/>
          <w:color w:val="000000"/>
          <w:lang w:val="da-DK"/>
        </w:rPr>
        <w:t>hvor indberetningen af fremførselsberettigede underskud</w:t>
      </w:r>
      <w:r>
        <w:rPr>
          <w:iCs/>
          <w:color w:val="000000"/>
          <w:lang w:val="da-DK"/>
        </w:rPr>
        <w:t xml:space="preserve"> </w:t>
      </w:r>
      <w:r w:rsidRPr="00081D83">
        <w:rPr>
          <w:iCs/>
          <w:color w:val="000000"/>
          <w:lang w:val="da-DK"/>
        </w:rPr>
        <w:t xml:space="preserve">finder </w:t>
      </w:r>
      <w:r w:rsidRPr="00081D83">
        <w:rPr>
          <w:iCs/>
          <w:color w:val="000000"/>
          <w:lang w:val="da-DK"/>
        </w:rPr>
        <w:lastRenderedPageBreak/>
        <w:t>sted</w:t>
      </w:r>
      <w:r>
        <w:rPr>
          <w:iCs/>
          <w:color w:val="000000"/>
          <w:lang w:val="da-DK"/>
        </w:rPr>
        <w:t>. Da fristen for indberetning af underskud udløber den 1. august 2015, betyder det, at selvang</w:t>
      </w:r>
      <w:r>
        <w:rPr>
          <w:iCs/>
          <w:color w:val="000000"/>
          <w:lang w:val="da-DK"/>
        </w:rPr>
        <w:t>i</w:t>
      </w:r>
      <w:r>
        <w:rPr>
          <w:iCs/>
          <w:color w:val="000000"/>
          <w:lang w:val="da-DK"/>
        </w:rPr>
        <w:t>velsesfristen for indkomståret 2014 er udskudt for alle selskaber m.v. til den 1. august 2015.</w:t>
      </w:r>
    </w:p>
    <w:p w:rsidR="00FE19AF" w:rsidRDefault="00FE19AF" w:rsidP="00FE19AF">
      <w:pPr>
        <w:spacing w:line="288" w:lineRule="auto"/>
        <w:jc w:val="both"/>
        <w:rPr>
          <w:i/>
          <w:iCs/>
          <w:color w:val="000000"/>
          <w:lang w:val="da-DK"/>
        </w:rPr>
      </w:pPr>
    </w:p>
    <w:p w:rsidR="00FE19AF" w:rsidRPr="009F1907" w:rsidRDefault="00FE19AF" w:rsidP="00FE19AF">
      <w:pPr>
        <w:spacing w:line="288" w:lineRule="auto"/>
        <w:jc w:val="both"/>
        <w:rPr>
          <w:i/>
          <w:iCs/>
          <w:color w:val="000000"/>
          <w:lang w:val="da-DK"/>
        </w:rPr>
      </w:pPr>
      <w:r w:rsidRPr="009F1907">
        <w:rPr>
          <w:i/>
          <w:iCs/>
          <w:color w:val="000000"/>
          <w:lang w:val="da-DK"/>
        </w:rPr>
        <w:t>4. Lovforslaget</w:t>
      </w:r>
    </w:p>
    <w:p w:rsidR="00FE19AF" w:rsidRDefault="00FE19AF" w:rsidP="00FE19AF">
      <w:pPr>
        <w:spacing w:line="288" w:lineRule="auto"/>
        <w:jc w:val="both"/>
        <w:rPr>
          <w:iCs/>
          <w:color w:val="000000"/>
          <w:lang w:val="da-DK"/>
        </w:rPr>
      </w:pPr>
      <w:r>
        <w:rPr>
          <w:iCs/>
          <w:color w:val="000000"/>
          <w:lang w:val="da-DK"/>
        </w:rPr>
        <w:t>Det har hidtil været lagt til grund, at DIAS skulle overtage underskudsberegningen. Af hensyn til selskaberne m.v. er det dog efterfølgende besluttet, at DIAS alene vil komme med et forslag til u</w:t>
      </w:r>
      <w:r>
        <w:rPr>
          <w:iCs/>
          <w:color w:val="000000"/>
          <w:lang w:val="da-DK"/>
        </w:rPr>
        <w:t>n</w:t>
      </w:r>
      <w:r>
        <w:rPr>
          <w:iCs/>
          <w:color w:val="000000"/>
          <w:lang w:val="da-DK"/>
        </w:rPr>
        <w:t>derskudsberegning for selskaberne m.v. og ikke overtage underskudsberegningen fuldt ud. Heru</w:t>
      </w:r>
      <w:r>
        <w:rPr>
          <w:iCs/>
          <w:color w:val="000000"/>
          <w:lang w:val="da-DK"/>
        </w:rPr>
        <w:t>d</w:t>
      </w:r>
      <w:r>
        <w:rPr>
          <w:iCs/>
          <w:color w:val="000000"/>
          <w:lang w:val="da-DK"/>
        </w:rPr>
        <w:t>over har det vist sig nødvendigt at udskyde selve underskudsberegningen mindst et år. Det har de</w:t>
      </w:r>
      <w:r>
        <w:rPr>
          <w:iCs/>
          <w:color w:val="000000"/>
          <w:lang w:val="da-DK"/>
        </w:rPr>
        <w:t>s</w:t>
      </w:r>
      <w:r>
        <w:rPr>
          <w:iCs/>
          <w:color w:val="000000"/>
          <w:lang w:val="da-DK"/>
        </w:rPr>
        <w:t>uden vist sig, at underskudsberegningen ikke vil kunne omfatte alle selskaber m.v. På den baggrund foreslås det at ændre sanktionen om fortabelse af underskud, hvis disse ikke indberettes til SKAT rettidigt. Det foreslås således, at selskaber m.v.</w:t>
      </w:r>
      <w:r w:rsidR="00A424D7">
        <w:rPr>
          <w:iCs/>
          <w:color w:val="000000"/>
          <w:lang w:val="da-DK"/>
        </w:rPr>
        <w:t>,</w:t>
      </w:r>
      <w:r>
        <w:rPr>
          <w:iCs/>
          <w:color w:val="000000"/>
          <w:lang w:val="da-DK"/>
        </w:rPr>
        <w:t xml:space="preserve"> som ikke registrerer underskud for perioden 2002-2013 rettidigt</w:t>
      </w:r>
      <w:r w:rsidR="00A424D7">
        <w:rPr>
          <w:iCs/>
          <w:color w:val="000000"/>
          <w:lang w:val="da-DK"/>
        </w:rPr>
        <w:t>,</w:t>
      </w:r>
      <w:r>
        <w:rPr>
          <w:iCs/>
          <w:color w:val="000000"/>
          <w:lang w:val="da-DK"/>
        </w:rPr>
        <w:t xml:space="preserve"> ikke fortaber underskuddene, men derimod alene bliver pålagt at betale et tillæg på 5.000 kr. Det foreslås samtidig, at skatteministeren kan fastsætte regler om, at tillægget kan frafa</w:t>
      </w:r>
      <w:r>
        <w:rPr>
          <w:iCs/>
          <w:color w:val="000000"/>
          <w:lang w:val="da-DK"/>
        </w:rPr>
        <w:t>l</w:t>
      </w:r>
      <w:r>
        <w:rPr>
          <w:iCs/>
          <w:color w:val="000000"/>
          <w:lang w:val="da-DK"/>
        </w:rPr>
        <w:t xml:space="preserve">des, hvis der foreligger særlige omstændigheder.  </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 xml:space="preserve">Set i lyset af at udviklingen af </w:t>
      </w:r>
      <w:r w:rsidR="004B5067">
        <w:rPr>
          <w:iCs/>
          <w:color w:val="000000"/>
          <w:lang w:val="da-DK"/>
        </w:rPr>
        <w:t xml:space="preserve">underskudsregisteret og </w:t>
      </w:r>
      <w:r>
        <w:rPr>
          <w:iCs/>
          <w:color w:val="000000"/>
          <w:lang w:val="da-DK"/>
        </w:rPr>
        <w:t>underskudsberegningsmodulet i DIAS har vist, at ikke alle selskab</w:t>
      </w:r>
      <w:r w:rsidR="005E3B0E">
        <w:rPr>
          <w:iCs/>
          <w:color w:val="000000"/>
          <w:lang w:val="da-DK"/>
        </w:rPr>
        <w:t>styper</w:t>
      </w:r>
      <w:r>
        <w:rPr>
          <w:iCs/>
          <w:color w:val="000000"/>
          <w:lang w:val="da-DK"/>
        </w:rPr>
        <w:t xml:space="preserve"> m.v. vil kunne </w:t>
      </w:r>
      <w:r w:rsidR="000C260B">
        <w:rPr>
          <w:iCs/>
          <w:color w:val="000000"/>
          <w:lang w:val="da-DK"/>
        </w:rPr>
        <w:t>håndteres</w:t>
      </w:r>
      <w:r w:rsidR="005E3B0E">
        <w:rPr>
          <w:iCs/>
          <w:color w:val="000000"/>
          <w:lang w:val="da-DK"/>
        </w:rPr>
        <w:t xml:space="preserve"> digitalt</w:t>
      </w:r>
      <w:r>
        <w:rPr>
          <w:iCs/>
          <w:color w:val="000000"/>
          <w:lang w:val="da-DK"/>
        </w:rPr>
        <w:t xml:space="preserve">, foreslås det, at skatteministeren bemyndiges til at fritage visse </w:t>
      </w:r>
      <w:r w:rsidR="000C260B">
        <w:rPr>
          <w:iCs/>
          <w:color w:val="000000"/>
          <w:lang w:val="da-DK"/>
        </w:rPr>
        <w:t xml:space="preserve">konkrete </w:t>
      </w:r>
      <w:r>
        <w:rPr>
          <w:iCs/>
          <w:color w:val="000000"/>
          <w:lang w:val="da-DK"/>
        </w:rPr>
        <w:t>selskab</w:t>
      </w:r>
      <w:r w:rsidR="000C260B">
        <w:rPr>
          <w:iCs/>
          <w:color w:val="000000"/>
          <w:lang w:val="da-DK"/>
        </w:rPr>
        <w:t>styper</w:t>
      </w:r>
      <w:r>
        <w:rPr>
          <w:iCs/>
          <w:color w:val="000000"/>
          <w:lang w:val="da-DK"/>
        </w:rPr>
        <w:t xml:space="preserve"> m.v. fra pligten til at engangsregistrere unde</w:t>
      </w:r>
      <w:r>
        <w:rPr>
          <w:iCs/>
          <w:color w:val="000000"/>
          <w:lang w:val="da-DK"/>
        </w:rPr>
        <w:t>r</w:t>
      </w:r>
      <w:r>
        <w:rPr>
          <w:iCs/>
          <w:color w:val="000000"/>
          <w:lang w:val="da-DK"/>
        </w:rPr>
        <w:t xml:space="preserve">skud. Bemyndigelsen tænkes udnyttet til </w:t>
      </w:r>
      <w:r w:rsidR="005E3B0E">
        <w:rPr>
          <w:iCs/>
          <w:color w:val="000000"/>
          <w:lang w:val="da-DK"/>
        </w:rPr>
        <w:t>f.eks.</w:t>
      </w:r>
      <w:r w:rsidR="009D489E">
        <w:rPr>
          <w:iCs/>
          <w:color w:val="000000"/>
          <w:lang w:val="da-DK"/>
        </w:rPr>
        <w:t xml:space="preserve"> </w:t>
      </w:r>
      <w:r>
        <w:rPr>
          <w:iCs/>
          <w:color w:val="000000"/>
          <w:lang w:val="da-DK"/>
        </w:rPr>
        <w:t>at fritage selskaber m.v</w:t>
      </w:r>
      <w:r w:rsidR="009D0A88">
        <w:rPr>
          <w:iCs/>
          <w:color w:val="000000"/>
          <w:lang w:val="da-DK"/>
        </w:rPr>
        <w:t>.</w:t>
      </w:r>
      <w:r w:rsidR="005E3B0E">
        <w:rPr>
          <w:iCs/>
          <w:color w:val="000000"/>
          <w:lang w:val="da-DK"/>
        </w:rPr>
        <w:t>,</w:t>
      </w:r>
      <w:r>
        <w:rPr>
          <w:iCs/>
          <w:color w:val="000000"/>
          <w:lang w:val="da-DK"/>
        </w:rPr>
        <w:t xml:space="preserve"> som alene er skattepligtige af tilknyttet virksomhed efter reglerne i kulbrinteskatteloven. </w:t>
      </w:r>
      <w:r w:rsidR="004B5067">
        <w:rPr>
          <w:iCs/>
          <w:color w:val="000000"/>
          <w:lang w:val="da-DK"/>
        </w:rPr>
        <w:t>Fritagelsen</w:t>
      </w:r>
      <w:r w:rsidR="000C260B">
        <w:rPr>
          <w:iCs/>
          <w:color w:val="000000"/>
          <w:lang w:val="da-DK"/>
        </w:rPr>
        <w:t xml:space="preserve"> af de konkrete selskabst</w:t>
      </w:r>
      <w:r w:rsidR="000C260B">
        <w:rPr>
          <w:iCs/>
          <w:color w:val="000000"/>
          <w:lang w:val="da-DK"/>
        </w:rPr>
        <w:t>y</w:t>
      </w:r>
      <w:r w:rsidR="000C260B">
        <w:rPr>
          <w:iCs/>
          <w:color w:val="000000"/>
          <w:lang w:val="da-DK"/>
        </w:rPr>
        <w:t xml:space="preserve">per m.v. vil blive fastsat i en bekendtgørelse, </w:t>
      </w:r>
      <w:r w:rsidR="009D0A88">
        <w:rPr>
          <w:iCs/>
          <w:color w:val="000000"/>
          <w:lang w:val="da-DK"/>
        </w:rPr>
        <w:t>som vurderes at få et meget begrænset anvendelse</w:t>
      </w:r>
      <w:r w:rsidR="009D0A88">
        <w:rPr>
          <w:iCs/>
          <w:color w:val="000000"/>
          <w:lang w:val="da-DK"/>
        </w:rPr>
        <w:t>s</w:t>
      </w:r>
      <w:r w:rsidR="009D0A88">
        <w:rPr>
          <w:iCs/>
          <w:color w:val="000000"/>
          <w:lang w:val="da-DK"/>
        </w:rPr>
        <w:t>område</w:t>
      </w:r>
      <w:r w:rsidR="000C260B">
        <w:rPr>
          <w:iCs/>
          <w:color w:val="000000"/>
          <w:lang w:val="da-DK"/>
        </w:rPr>
        <w:t xml:space="preserve">. </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sidRPr="00AE4685">
        <w:rPr>
          <w:iCs/>
          <w:color w:val="000000"/>
          <w:lang w:val="da-DK"/>
        </w:rPr>
        <w:t>For at selskaberne</w:t>
      </w:r>
      <w:r>
        <w:rPr>
          <w:iCs/>
          <w:color w:val="000000"/>
          <w:lang w:val="da-DK"/>
        </w:rPr>
        <w:t xml:space="preserve"> m.v.</w:t>
      </w:r>
      <w:r w:rsidRPr="00AE4685">
        <w:rPr>
          <w:iCs/>
          <w:color w:val="000000"/>
          <w:lang w:val="da-DK"/>
        </w:rPr>
        <w:t xml:space="preserve"> ikke skal få </w:t>
      </w:r>
      <w:r w:rsidR="00457C51">
        <w:rPr>
          <w:iCs/>
          <w:color w:val="000000"/>
          <w:lang w:val="da-DK"/>
        </w:rPr>
        <w:t xml:space="preserve">væsentligt </w:t>
      </w:r>
      <w:r w:rsidRPr="00AE4685">
        <w:rPr>
          <w:iCs/>
          <w:color w:val="000000"/>
          <w:lang w:val="da-DK"/>
        </w:rPr>
        <w:t>kortere tid til at</w:t>
      </w:r>
      <w:r>
        <w:rPr>
          <w:iCs/>
          <w:color w:val="000000"/>
          <w:lang w:val="da-DK"/>
        </w:rPr>
        <w:t xml:space="preserve"> engangsindberette underskud for perioden 2002-2013 og </w:t>
      </w:r>
      <w:r w:rsidRPr="00AE4685">
        <w:rPr>
          <w:iCs/>
          <w:color w:val="000000"/>
          <w:lang w:val="da-DK"/>
        </w:rPr>
        <w:t>indberette selvangivelsen for indkomståret 2014</w:t>
      </w:r>
      <w:r>
        <w:rPr>
          <w:iCs/>
          <w:color w:val="000000"/>
          <w:lang w:val="da-DK"/>
        </w:rPr>
        <w:t xml:space="preserve"> i én arbejdsgang</w:t>
      </w:r>
      <w:r w:rsidRPr="00AE4685">
        <w:rPr>
          <w:iCs/>
          <w:color w:val="000000"/>
          <w:lang w:val="da-DK"/>
        </w:rPr>
        <w:t xml:space="preserve">, foreslås det, at selvangivelsesfristen </w:t>
      </w:r>
      <w:r>
        <w:rPr>
          <w:iCs/>
          <w:color w:val="000000"/>
          <w:lang w:val="da-DK"/>
        </w:rPr>
        <w:t xml:space="preserve">for </w:t>
      </w:r>
      <w:r w:rsidRPr="00AE4685">
        <w:rPr>
          <w:iCs/>
          <w:color w:val="000000"/>
          <w:lang w:val="da-DK"/>
        </w:rPr>
        <w:t xml:space="preserve">indkomståret 2014 </w:t>
      </w:r>
      <w:r>
        <w:rPr>
          <w:iCs/>
          <w:color w:val="000000"/>
          <w:lang w:val="da-DK"/>
        </w:rPr>
        <w:t xml:space="preserve">for alle selskaber m.v. </w:t>
      </w:r>
      <w:r w:rsidRPr="00AE4685">
        <w:rPr>
          <w:iCs/>
          <w:color w:val="000000"/>
          <w:lang w:val="da-DK"/>
        </w:rPr>
        <w:t xml:space="preserve">udskydes med yderligere en måned fra </w:t>
      </w:r>
      <w:r>
        <w:rPr>
          <w:iCs/>
          <w:color w:val="000000"/>
          <w:lang w:val="da-DK"/>
        </w:rPr>
        <w:t xml:space="preserve">den </w:t>
      </w:r>
      <w:r w:rsidRPr="00AE4685">
        <w:rPr>
          <w:iCs/>
          <w:color w:val="000000"/>
          <w:lang w:val="da-DK"/>
        </w:rPr>
        <w:t xml:space="preserve">1. august 2015 til </w:t>
      </w:r>
      <w:r>
        <w:rPr>
          <w:iCs/>
          <w:color w:val="000000"/>
          <w:lang w:val="da-DK"/>
        </w:rPr>
        <w:t xml:space="preserve">den </w:t>
      </w:r>
      <w:r w:rsidRPr="00AE4685">
        <w:rPr>
          <w:iCs/>
          <w:color w:val="000000"/>
          <w:lang w:val="da-DK"/>
        </w:rPr>
        <w:t>1. september 2015.</w:t>
      </w:r>
      <w:r>
        <w:rPr>
          <w:iCs/>
          <w:color w:val="000000"/>
          <w:lang w:val="da-DK"/>
        </w:rPr>
        <w:t xml:space="preserve"> </w:t>
      </w:r>
    </w:p>
    <w:p w:rsidR="00FE19AF" w:rsidRDefault="00FE19AF" w:rsidP="00FE19AF">
      <w:pPr>
        <w:spacing w:line="288" w:lineRule="auto"/>
        <w:jc w:val="both"/>
        <w:rPr>
          <w:iCs/>
          <w:color w:val="000000"/>
          <w:lang w:val="da-DK"/>
        </w:rPr>
      </w:pPr>
    </w:p>
    <w:p w:rsidR="00FE19AF" w:rsidRPr="00AE4685" w:rsidRDefault="00FE19AF" w:rsidP="00FE19AF">
      <w:pPr>
        <w:spacing w:line="288" w:lineRule="auto"/>
        <w:jc w:val="both"/>
        <w:rPr>
          <w:iCs/>
          <w:color w:val="000000"/>
          <w:lang w:val="da-DK"/>
        </w:rPr>
      </w:pPr>
      <w:r>
        <w:rPr>
          <w:iCs/>
          <w:color w:val="000000"/>
          <w:lang w:val="da-DK"/>
        </w:rPr>
        <w:t xml:space="preserve">Det foreslås desuden at udskyde selvangivelsesfristen for alle selskaber m.v. for indkomståret 2015 til den 1. september 2016. Udskydelsen af selvangivelsesfristen for indkomståret 2015 har til formål at give tid til, at DIAS kan udvikle en løsning for så mange selskaber m.v. som muligt, således at disse kan få et forslag til </w:t>
      </w:r>
      <w:r w:rsidR="00024CF5">
        <w:rPr>
          <w:iCs/>
          <w:color w:val="000000"/>
          <w:lang w:val="da-DK"/>
        </w:rPr>
        <w:t xml:space="preserve">en </w:t>
      </w:r>
      <w:r w:rsidR="0016634D">
        <w:rPr>
          <w:iCs/>
          <w:color w:val="000000"/>
          <w:lang w:val="da-DK"/>
        </w:rPr>
        <w:t>konkret</w:t>
      </w:r>
      <w:r>
        <w:rPr>
          <w:iCs/>
          <w:color w:val="000000"/>
          <w:lang w:val="da-DK"/>
        </w:rPr>
        <w:t xml:space="preserve"> underskudsberegning.</w:t>
      </w:r>
      <w:r w:rsidR="00585FC4">
        <w:rPr>
          <w:iCs/>
          <w:color w:val="000000"/>
          <w:lang w:val="da-DK"/>
        </w:rPr>
        <w:t xml:space="preserve"> </w:t>
      </w:r>
    </w:p>
    <w:p w:rsidR="00FE19AF" w:rsidRDefault="00FE19AF" w:rsidP="00FE19AF">
      <w:pPr>
        <w:spacing w:line="288" w:lineRule="auto"/>
        <w:jc w:val="both"/>
        <w:rPr>
          <w:iCs/>
          <w:color w:val="000000"/>
          <w:lang w:val="da-DK"/>
        </w:rPr>
      </w:pPr>
    </w:p>
    <w:p w:rsidR="00FE19AF" w:rsidRPr="002B4281" w:rsidRDefault="00FE19AF" w:rsidP="00FE19AF">
      <w:pPr>
        <w:spacing w:line="288" w:lineRule="auto"/>
        <w:jc w:val="both"/>
        <w:rPr>
          <w:iCs/>
          <w:color w:val="000000"/>
          <w:lang w:val="da-DK"/>
        </w:rPr>
      </w:pPr>
      <w:r w:rsidRPr="002B4281">
        <w:rPr>
          <w:iCs/>
          <w:color w:val="000000"/>
          <w:lang w:val="da-DK"/>
        </w:rPr>
        <w:t>I perioden fra selskaberne</w:t>
      </w:r>
      <w:r>
        <w:rPr>
          <w:iCs/>
          <w:color w:val="000000"/>
          <w:lang w:val="da-DK"/>
        </w:rPr>
        <w:t xml:space="preserve"> m.v.</w:t>
      </w:r>
      <w:r w:rsidRPr="002B4281">
        <w:rPr>
          <w:iCs/>
          <w:color w:val="000000"/>
          <w:lang w:val="da-DK"/>
        </w:rPr>
        <w:t xml:space="preserve"> har engangsregistreret deres underskud, og indtil DIAS </w:t>
      </w:r>
      <w:r>
        <w:rPr>
          <w:iCs/>
          <w:color w:val="000000"/>
          <w:lang w:val="da-DK"/>
        </w:rPr>
        <w:t>har</w:t>
      </w:r>
      <w:r w:rsidRPr="002B4281">
        <w:rPr>
          <w:iCs/>
          <w:color w:val="000000"/>
          <w:lang w:val="da-DK"/>
        </w:rPr>
        <w:t xml:space="preserve"> færdi</w:t>
      </w:r>
      <w:r w:rsidRPr="002B4281">
        <w:rPr>
          <w:iCs/>
          <w:color w:val="000000"/>
          <w:lang w:val="da-DK"/>
        </w:rPr>
        <w:t>g</w:t>
      </w:r>
      <w:r w:rsidRPr="002B4281">
        <w:rPr>
          <w:iCs/>
          <w:color w:val="000000"/>
          <w:lang w:val="da-DK"/>
        </w:rPr>
        <w:t xml:space="preserve">udviklet </w:t>
      </w:r>
      <w:r>
        <w:rPr>
          <w:iCs/>
          <w:color w:val="000000"/>
          <w:lang w:val="da-DK"/>
        </w:rPr>
        <w:t>en løsning med forslag</w:t>
      </w:r>
      <w:r w:rsidRPr="002B4281">
        <w:rPr>
          <w:iCs/>
          <w:color w:val="000000"/>
          <w:lang w:val="da-DK"/>
        </w:rPr>
        <w:t xml:space="preserve"> med en </w:t>
      </w:r>
      <w:r w:rsidR="0016634D">
        <w:rPr>
          <w:iCs/>
          <w:color w:val="000000"/>
          <w:lang w:val="da-DK"/>
        </w:rPr>
        <w:t>konkret</w:t>
      </w:r>
      <w:r w:rsidRPr="002B4281">
        <w:rPr>
          <w:iCs/>
          <w:color w:val="000000"/>
          <w:lang w:val="da-DK"/>
        </w:rPr>
        <w:t xml:space="preserve"> underskudsberegning, vil selskaberne </w:t>
      </w:r>
      <w:r>
        <w:rPr>
          <w:iCs/>
          <w:color w:val="000000"/>
          <w:lang w:val="da-DK"/>
        </w:rPr>
        <w:t xml:space="preserve">m.v. </w:t>
      </w:r>
      <w:r w:rsidRPr="002B4281">
        <w:rPr>
          <w:iCs/>
          <w:color w:val="000000"/>
          <w:lang w:val="da-DK"/>
        </w:rPr>
        <w:t xml:space="preserve">skulle opdatere deres registrerede underskudsoplysninger i </w:t>
      </w:r>
      <w:r>
        <w:rPr>
          <w:iCs/>
          <w:color w:val="000000"/>
          <w:lang w:val="da-DK"/>
        </w:rPr>
        <w:t>underskudsregisteret</w:t>
      </w:r>
      <w:r w:rsidRPr="002B4281">
        <w:rPr>
          <w:iCs/>
          <w:color w:val="000000"/>
          <w:lang w:val="da-DK"/>
        </w:rPr>
        <w:t xml:space="preserve"> som en integreret del af selvangivelsesløsningen. </w:t>
      </w:r>
    </w:p>
    <w:p w:rsidR="00FE19AF" w:rsidRPr="00AE4685" w:rsidRDefault="00FE19AF" w:rsidP="00FE19AF">
      <w:pPr>
        <w:spacing w:line="288" w:lineRule="auto"/>
        <w:jc w:val="both"/>
        <w:rPr>
          <w:iCs/>
          <w:color w:val="000000"/>
          <w:lang w:val="da-DK"/>
        </w:rPr>
      </w:pPr>
    </w:p>
    <w:p w:rsidR="00FE19AF" w:rsidRPr="009F1907" w:rsidRDefault="00FE19AF" w:rsidP="00FE19AF">
      <w:pPr>
        <w:spacing w:line="288" w:lineRule="auto"/>
        <w:rPr>
          <w:i/>
          <w:iCs/>
          <w:color w:val="000000"/>
          <w:spacing w:val="-5"/>
          <w:lang w:val="da-DK"/>
        </w:rPr>
      </w:pPr>
      <w:r w:rsidRPr="009F1907">
        <w:rPr>
          <w:i/>
          <w:iCs/>
          <w:color w:val="000000"/>
          <w:lang w:val="da-DK"/>
        </w:rPr>
        <w:t xml:space="preserve">5. </w:t>
      </w:r>
      <w:r w:rsidRPr="009F1907">
        <w:rPr>
          <w:i/>
          <w:iCs/>
          <w:color w:val="000000"/>
          <w:spacing w:val="-5"/>
          <w:lang w:val="da-DK"/>
        </w:rPr>
        <w:t xml:space="preserve">Økonomiske konsekvenser for det offentlige </w:t>
      </w:r>
    </w:p>
    <w:p w:rsidR="00E3656E" w:rsidRDefault="00E3656E" w:rsidP="00E3656E">
      <w:pPr>
        <w:spacing w:line="288" w:lineRule="auto"/>
        <w:jc w:val="both"/>
        <w:rPr>
          <w:iCs/>
          <w:color w:val="000000"/>
          <w:lang w:val="da-DK"/>
        </w:rPr>
      </w:pPr>
      <w:r>
        <w:rPr>
          <w:iCs/>
          <w:color w:val="000000"/>
          <w:lang w:val="da-DK"/>
        </w:rPr>
        <w:lastRenderedPageBreak/>
        <w:t>I forbindelse med vedtagelsen af lov nr. 591 af 18. juni 2012 blev det skønnet, at underskudsreg</w:t>
      </w:r>
      <w:r>
        <w:rPr>
          <w:iCs/>
          <w:color w:val="000000"/>
          <w:lang w:val="da-DK"/>
        </w:rPr>
        <w:t>i</w:t>
      </w:r>
      <w:r>
        <w:rPr>
          <w:iCs/>
          <w:color w:val="000000"/>
          <w:lang w:val="da-DK"/>
        </w:rPr>
        <w:t>stret på sigt vil give et varigt merprovenu i størrelsesordenen 25 mio. kr. årligt efter tilbageløb.</w:t>
      </w:r>
    </w:p>
    <w:p w:rsidR="00E3656E" w:rsidRDefault="00E3656E" w:rsidP="00E3656E">
      <w:pPr>
        <w:spacing w:line="288" w:lineRule="auto"/>
        <w:jc w:val="both"/>
        <w:rPr>
          <w:iCs/>
          <w:color w:val="000000"/>
          <w:lang w:val="da-DK"/>
        </w:rPr>
      </w:pPr>
    </w:p>
    <w:p w:rsidR="00E3656E" w:rsidRDefault="00E3656E" w:rsidP="00E3656E">
      <w:pPr>
        <w:spacing w:line="288" w:lineRule="auto"/>
        <w:jc w:val="both"/>
        <w:rPr>
          <w:iCs/>
          <w:color w:val="000000"/>
          <w:lang w:val="da-DK"/>
        </w:rPr>
      </w:pPr>
      <w:r>
        <w:rPr>
          <w:iCs/>
          <w:color w:val="000000"/>
          <w:lang w:val="da-DK"/>
        </w:rPr>
        <w:t xml:space="preserve">Med forslaget ændres bl.a. sanktionen ved manglende </w:t>
      </w:r>
      <w:r w:rsidR="006101E2">
        <w:rPr>
          <w:iCs/>
          <w:color w:val="000000"/>
          <w:lang w:val="da-DK"/>
        </w:rPr>
        <w:t>registrering af underskud</w:t>
      </w:r>
      <w:r>
        <w:rPr>
          <w:iCs/>
          <w:color w:val="000000"/>
          <w:lang w:val="da-DK"/>
        </w:rPr>
        <w:t xml:space="preserve"> til underskudsreg</w:t>
      </w:r>
      <w:r>
        <w:rPr>
          <w:iCs/>
          <w:color w:val="000000"/>
          <w:lang w:val="da-DK"/>
        </w:rPr>
        <w:t>i</w:t>
      </w:r>
      <w:r>
        <w:rPr>
          <w:iCs/>
          <w:color w:val="000000"/>
          <w:lang w:val="da-DK"/>
        </w:rPr>
        <w:t>st</w:t>
      </w:r>
      <w:r w:rsidR="006101E2">
        <w:rPr>
          <w:iCs/>
          <w:color w:val="000000"/>
          <w:lang w:val="da-DK"/>
        </w:rPr>
        <w:t>e</w:t>
      </w:r>
      <w:r>
        <w:rPr>
          <w:iCs/>
          <w:color w:val="000000"/>
          <w:lang w:val="da-DK"/>
        </w:rPr>
        <w:t xml:space="preserve">ret, så det alene udløser </w:t>
      </w:r>
      <w:r w:rsidR="006101E2">
        <w:rPr>
          <w:iCs/>
          <w:color w:val="000000"/>
          <w:lang w:val="da-DK"/>
        </w:rPr>
        <w:t>et tillæg</w:t>
      </w:r>
      <w:r>
        <w:rPr>
          <w:iCs/>
          <w:color w:val="000000"/>
          <w:lang w:val="da-DK"/>
        </w:rPr>
        <w:t xml:space="preserve"> på 5.000 kr., men den manglende </w:t>
      </w:r>
      <w:r w:rsidR="006101E2">
        <w:rPr>
          <w:iCs/>
          <w:color w:val="000000"/>
          <w:lang w:val="da-DK"/>
        </w:rPr>
        <w:t>registrering</w:t>
      </w:r>
      <w:r>
        <w:rPr>
          <w:iCs/>
          <w:color w:val="000000"/>
          <w:lang w:val="da-DK"/>
        </w:rPr>
        <w:t xml:space="preserve"> medføre</w:t>
      </w:r>
      <w:r w:rsidR="006101E2">
        <w:rPr>
          <w:iCs/>
          <w:color w:val="000000"/>
          <w:lang w:val="da-DK"/>
        </w:rPr>
        <w:t>r</w:t>
      </w:r>
      <w:r>
        <w:rPr>
          <w:iCs/>
          <w:color w:val="000000"/>
          <w:lang w:val="da-DK"/>
        </w:rPr>
        <w:t xml:space="preserve"> ikke som hidtil, at underskud</w:t>
      </w:r>
      <w:r w:rsidR="006101E2">
        <w:rPr>
          <w:iCs/>
          <w:color w:val="000000"/>
          <w:lang w:val="da-DK"/>
        </w:rPr>
        <w:t>d</w:t>
      </w:r>
      <w:r>
        <w:rPr>
          <w:iCs/>
          <w:color w:val="000000"/>
          <w:lang w:val="da-DK"/>
        </w:rPr>
        <w:t>e</w:t>
      </w:r>
      <w:r w:rsidR="006101E2">
        <w:rPr>
          <w:iCs/>
          <w:color w:val="000000"/>
          <w:lang w:val="da-DK"/>
        </w:rPr>
        <w:t>n</w:t>
      </w:r>
      <w:r>
        <w:rPr>
          <w:iCs/>
          <w:color w:val="000000"/>
          <w:lang w:val="da-DK"/>
        </w:rPr>
        <w:t>e bortfalder. Tillægget understøtter</w:t>
      </w:r>
      <w:r w:rsidR="006101E2">
        <w:rPr>
          <w:iCs/>
          <w:color w:val="000000"/>
          <w:lang w:val="da-DK"/>
        </w:rPr>
        <w:t>,</w:t>
      </w:r>
      <w:r>
        <w:rPr>
          <w:iCs/>
          <w:color w:val="000000"/>
          <w:lang w:val="da-DK"/>
        </w:rPr>
        <w:t xml:space="preserve"> at den kontrolmæssige gevinst ved underskudsregister</w:t>
      </w:r>
      <w:r w:rsidR="006101E2">
        <w:rPr>
          <w:iCs/>
          <w:color w:val="000000"/>
          <w:lang w:val="da-DK"/>
        </w:rPr>
        <w:t>et</w:t>
      </w:r>
      <w:r>
        <w:rPr>
          <w:iCs/>
          <w:color w:val="000000"/>
          <w:lang w:val="da-DK"/>
        </w:rPr>
        <w:t xml:space="preserve"> opretholdes. Desuden bemyndiges skatteministeren til at undtage visse selsk</w:t>
      </w:r>
      <w:r>
        <w:rPr>
          <w:iCs/>
          <w:color w:val="000000"/>
          <w:lang w:val="da-DK"/>
        </w:rPr>
        <w:t>a</w:t>
      </w:r>
      <w:r>
        <w:rPr>
          <w:iCs/>
          <w:color w:val="000000"/>
          <w:lang w:val="da-DK"/>
        </w:rPr>
        <w:t xml:space="preserve">ber m.v. fra pligten til at engangsregistrere underskud m.v. </w:t>
      </w:r>
    </w:p>
    <w:p w:rsidR="00E3656E" w:rsidRDefault="00E3656E" w:rsidP="00E3656E">
      <w:pPr>
        <w:spacing w:line="288" w:lineRule="auto"/>
        <w:jc w:val="both"/>
        <w:rPr>
          <w:iCs/>
          <w:color w:val="000000"/>
          <w:lang w:val="da-DK"/>
        </w:rPr>
      </w:pPr>
    </w:p>
    <w:p w:rsidR="00E3656E" w:rsidRDefault="00E3656E" w:rsidP="00E3656E">
      <w:pPr>
        <w:spacing w:line="288" w:lineRule="auto"/>
        <w:jc w:val="both"/>
        <w:rPr>
          <w:iCs/>
          <w:color w:val="000000"/>
          <w:lang w:val="da-DK"/>
        </w:rPr>
      </w:pPr>
      <w:r>
        <w:rPr>
          <w:iCs/>
          <w:color w:val="000000"/>
          <w:lang w:val="da-DK"/>
        </w:rPr>
        <w:t>Disse foreslåede ændringer kan potentielt medføre, at det forventede merprovenu ved indførelsen af underskudsregisteret i et vist omfang reduceres. Overordnet set skønnes det dog, at den kontro</w:t>
      </w:r>
      <w:r>
        <w:rPr>
          <w:iCs/>
          <w:color w:val="000000"/>
          <w:lang w:val="da-DK"/>
        </w:rPr>
        <w:t>l</w:t>
      </w:r>
      <w:r>
        <w:rPr>
          <w:iCs/>
          <w:color w:val="000000"/>
          <w:lang w:val="da-DK"/>
        </w:rPr>
        <w:t>mæssige gevinst op</w:t>
      </w:r>
      <w:r w:rsidR="00D14C8D">
        <w:rPr>
          <w:iCs/>
          <w:color w:val="000000"/>
          <w:lang w:val="da-DK"/>
        </w:rPr>
        <w:t>retholdes, hvorfor ændringen i forhold til</w:t>
      </w:r>
      <w:r>
        <w:rPr>
          <w:iCs/>
          <w:color w:val="000000"/>
          <w:lang w:val="da-DK"/>
        </w:rPr>
        <w:t xml:space="preserve"> det oprindelige skøn </w:t>
      </w:r>
      <w:r w:rsidR="006101E2">
        <w:rPr>
          <w:iCs/>
          <w:color w:val="000000"/>
          <w:lang w:val="da-DK"/>
        </w:rPr>
        <w:t>er</w:t>
      </w:r>
      <w:r>
        <w:rPr>
          <w:iCs/>
          <w:color w:val="000000"/>
          <w:lang w:val="da-DK"/>
        </w:rPr>
        <w:t xml:space="preserve"> minimal. </w:t>
      </w:r>
    </w:p>
    <w:p w:rsidR="00FE19AF" w:rsidRPr="00C90A4C" w:rsidRDefault="00FE19AF" w:rsidP="00FE19AF">
      <w:pPr>
        <w:spacing w:line="288" w:lineRule="auto"/>
        <w:jc w:val="both"/>
        <w:rPr>
          <w:iCs/>
          <w:color w:val="000000"/>
          <w:lang w:val="da-DK"/>
        </w:rPr>
      </w:pPr>
    </w:p>
    <w:p w:rsidR="00FE19AF" w:rsidRPr="009F1907" w:rsidRDefault="00FE19AF" w:rsidP="00FE19AF">
      <w:pPr>
        <w:spacing w:line="288" w:lineRule="auto"/>
        <w:jc w:val="both"/>
        <w:rPr>
          <w:i/>
          <w:iCs/>
          <w:color w:val="000000"/>
          <w:lang w:val="da-DK"/>
        </w:rPr>
      </w:pPr>
      <w:r w:rsidRPr="009F1907">
        <w:rPr>
          <w:i/>
          <w:iCs/>
          <w:color w:val="000000"/>
          <w:lang w:val="da-DK"/>
        </w:rPr>
        <w:t xml:space="preserve">6. Administrative konsekvenser for det offentlige </w:t>
      </w:r>
    </w:p>
    <w:p w:rsidR="007C7C68" w:rsidRPr="00E26AE0" w:rsidRDefault="007C7C68" w:rsidP="007C7C68">
      <w:pPr>
        <w:rPr>
          <w:lang w:val="da-DK"/>
        </w:rPr>
      </w:pPr>
      <w:r w:rsidRPr="00E26AE0">
        <w:rPr>
          <w:lang w:val="da-DK"/>
        </w:rPr>
        <w:t>Lovforslaget skønnes at medføre engangsomkostninger på op til 1 årsværk (svarende til 0,6 mio. kr.) i SKAT til opkrævning af tillæg.</w:t>
      </w:r>
    </w:p>
    <w:p w:rsidR="00FE19AF" w:rsidRPr="00C90A4C" w:rsidRDefault="007C7C68" w:rsidP="00FE19AF">
      <w:pPr>
        <w:spacing w:line="288" w:lineRule="auto"/>
        <w:jc w:val="both"/>
        <w:rPr>
          <w:iCs/>
          <w:color w:val="000000"/>
          <w:lang w:val="da-DK"/>
        </w:rPr>
      </w:pPr>
      <w:r w:rsidRPr="00C90A4C" w:rsidDel="00750AEF">
        <w:rPr>
          <w:iCs/>
          <w:color w:val="000000"/>
          <w:lang w:val="da-DK"/>
        </w:rPr>
        <w:t xml:space="preserve"> </w:t>
      </w:r>
    </w:p>
    <w:p w:rsidR="00FE19AF" w:rsidRPr="009F1907" w:rsidRDefault="00FE19AF" w:rsidP="00FE19AF">
      <w:pPr>
        <w:spacing w:line="288" w:lineRule="auto"/>
        <w:jc w:val="both"/>
        <w:rPr>
          <w:i/>
          <w:iCs/>
          <w:color w:val="000000"/>
          <w:lang w:val="da-DK"/>
        </w:rPr>
      </w:pPr>
      <w:r w:rsidRPr="009F1907">
        <w:rPr>
          <w:i/>
          <w:iCs/>
          <w:color w:val="000000"/>
          <w:lang w:val="da-DK"/>
        </w:rPr>
        <w:t xml:space="preserve">7. Økonomiske konsekvenser for erhvervslivet </w:t>
      </w:r>
    </w:p>
    <w:p w:rsidR="00FE19AF" w:rsidRDefault="00FE19AF" w:rsidP="00FE19AF">
      <w:pPr>
        <w:spacing w:line="288" w:lineRule="auto"/>
        <w:jc w:val="both"/>
        <w:rPr>
          <w:iCs/>
          <w:color w:val="000000"/>
          <w:lang w:val="da-DK"/>
        </w:rPr>
      </w:pPr>
      <w:r>
        <w:rPr>
          <w:iCs/>
          <w:color w:val="000000"/>
          <w:lang w:val="da-DK"/>
        </w:rPr>
        <w:t>Med lovforslaget foreslås sanktionen lempet, således at manglende registrering af underskud ikke medfører, at disse bortfalder, men at selskaberne m.v. alene pålægges at betale et tillæg på 5.000 kr.</w:t>
      </w:r>
      <w:r w:rsidR="005E3B0E" w:rsidRPr="005E3B0E">
        <w:rPr>
          <w:color w:val="000000"/>
          <w:lang w:val="da-DK"/>
        </w:rPr>
        <w:t xml:space="preserve"> </w:t>
      </w:r>
      <w:r w:rsidR="005E3B0E" w:rsidRPr="00A6351A">
        <w:rPr>
          <w:color w:val="000000"/>
          <w:lang w:val="da-DK"/>
        </w:rPr>
        <w:t>Ændringen vil for den væsentligste del af de berørte selskaber m.v. betyde en reduceret udgift</w:t>
      </w:r>
      <w:r w:rsidR="005E3B0E">
        <w:rPr>
          <w:color w:val="000000"/>
          <w:lang w:val="da-DK"/>
        </w:rPr>
        <w:t>.</w:t>
      </w:r>
    </w:p>
    <w:p w:rsidR="00FE19AF" w:rsidRPr="00C90A4C" w:rsidRDefault="00FE19AF" w:rsidP="00FE19AF">
      <w:pPr>
        <w:spacing w:line="288" w:lineRule="auto"/>
        <w:jc w:val="both"/>
        <w:rPr>
          <w:iCs/>
          <w:color w:val="000000"/>
          <w:lang w:val="da-DK"/>
        </w:rPr>
      </w:pPr>
    </w:p>
    <w:p w:rsidR="00FE19AF" w:rsidRPr="009F1907" w:rsidRDefault="00FE19AF" w:rsidP="00FE19AF">
      <w:pPr>
        <w:spacing w:line="288" w:lineRule="auto"/>
        <w:jc w:val="both"/>
        <w:rPr>
          <w:color w:val="000000"/>
          <w:lang w:val="da-DK"/>
        </w:rPr>
      </w:pPr>
      <w:r w:rsidRPr="009F1907">
        <w:rPr>
          <w:i/>
          <w:iCs/>
          <w:color w:val="000000"/>
          <w:lang w:val="da-DK"/>
        </w:rPr>
        <w:t xml:space="preserve">8. Administrative konsekvenser for erhvervslivet </w:t>
      </w:r>
    </w:p>
    <w:p w:rsidR="00FE19AF" w:rsidRDefault="00FE19AF" w:rsidP="00FE19AF">
      <w:pPr>
        <w:spacing w:line="288" w:lineRule="auto"/>
        <w:jc w:val="both"/>
        <w:rPr>
          <w:iCs/>
          <w:color w:val="000000"/>
          <w:lang w:val="da-DK"/>
        </w:rPr>
      </w:pPr>
      <w:r>
        <w:rPr>
          <w:iCs/>
          <w:color w:val="000000"/>
          <w:lang w:val="da-DK"/>
        </w:rPr>
        <w:t xml:space="preserve">Lovforslaget vurderes ikke at have nævneværdige administrative konsekvenser for erhvervslivet. </w:t>
      </w:r>
    </w:p>
    <w:p w:rsidR="00FE19AF" w:rsidRDefault="00FE19AF" w:rsidP="00FE19AF">
      <w:pPr>
        <w:spacing w:line="288" w:lineRule="auto"/>
        <w:jc w:val="both"/>
        <w:rPr>
          <w:iCs/>
          <w:color w:val="000000"/>
          <w:lang w:val="da-DK"/>
        </w:rPr>
      </w:pPr>
    </w:p>
    <w:p w:rsidR="00FE19AF" w:rsidRDefault="00FE19AF" w:rsidP="00FE19AF">
      <w:pPr>
        <w:spacing w:line="288" w:lineRule="auto"/>
        <w:jc w:val="both"/>
        <w:rPr>
          <w:iCs/>
          <w:color w:val="000000"/>
          <w:lang w:val="da-DK"/>
        </w:rPr>
      </w:pPr>
      <w:r>
        <w:rPr>
          <w:iCs/>
          <w:color w:val="000000"/>
          <w:lang w:val="da-DK"/>
        </w:rPr>
        <w:t xml:space="preserve">Som følge af udskydelsen af beregningsmodulet, som skal give selskaberne m.v. et forslag til </w:t>
      </w:r>
      <w:r w:rsidR="00024CF5">
        <w:rPr>
          <w:iCs/>
          <w:color w:val="000000"/>
          <w:lang w:val="da-DK"/>
        </w:rPr>
        <w:t xml:space="preserve">en </w:t>
      </w:r>
      <w:r w:rsidR="0016634D">
        <w:rPr>
          <w:iCs/>
          <w:color w:val="000000"/>
          <w:lang w:val="da-DK"/>
        </w:rPr>
        <w:t>konkret</w:t>
      </w:r>
      <w:r>
        <w:rPr>
          <w:iCs/>
          <w:color w:val="000000"/>
          <w:lang w:val="da-DK"/>
        </w:rPr>
        <w:t xml:space="preserve"> underskudsanvendelse, samt det forhold, at ikke alle selskaber m.v., som tidligere antaget, vil kunne få et forslag til </w:t>
      </w:r>
      <w:r w:rsidR="00024CF5">
        <w:rPr>
          <w:iCs/>
          <w:color w:val="000000"/>
          <w:lang w:val="da-DK"/>
        </w:rPr>
        <w:t xml:space="preserve">en </w:t>
      </w:r>
      <w:r w:rsidR="0016634D">
        <w:rPr>
          <w:iCs/>
          <w:color w:val="000000"/>
          <w:lang w:val="da-DK"/>
        </w:rPr>
        <w:t>konkret</w:t>
      </w:r>
      <w:r>
        <w:rPr>
          <w:iCs/>
          <w:color w:val="000000"/>
          <w:lang w:val="da-DK"/>
        </w:rPr>
        <w:t xml:space="preserve"> underskudsberegning, vil nogle selskaber m.v. opleve, at de ikke opnår, eller først på et senere tidspunkt opnår, de administrative lettelser, som de blev stillet i udsigt </w:t>
      </w:r>
      <w:r w:rsidRPr="00AE4685">
        <w:rPr>
          <w:iCs/>
          <w:color w:val="000000"/>
          <w:lang w:val="da-DK"/>
        </w:rPr>
        <w:t>ved lov nr. 528 af 28. maj 2014 (L 144</w:t>
      </w:r>
      <w:r>
        <w:rPr>
          <w:iCs/>
          <w:color w:val="000000"/>
          <w:lang w:val="da-DK"/>
        </w:rPr>
        <w:t xml:space="preserve"> - folketingsåret 2013-14</w:t>
      </w:r>
      <w:r w:rsidRPr="00AE4685">
        <w:rPr>
          <w:iCs/>
          <w:color w:val="000000"/>
          <w:lang w:val="da-DK"/>
        </w:rPr>
        <w:t>)</w:t>
      </w:r>
      <w:r>
        <w:rPr>
          <w:iCs/>
          <w:color w:val="000000"/>
          <w:lang w:val="da-DK"/>
        </w:rPr>
        <w:t>. Hertil kommer, at selsk</w:t>
      </w:r>
      <w:r>
        <w:rPr>
          <w:iCs/>
          <w:color w:val="000000"/>
          <w:lang w:val="da-DK"/>
        </w:rPr>
        <w:t>a</w:t>
      </w:r>
      <w:r>
        <w:rPr>
          <w:iCs/>
          <w:color w:val="000000"/>
          <w:lang w:val="da-DK"/>
        </w:rPr>
        <w:t>berne m.v. i perioden frem til underskudsberegningsmodulet er færdigudviklet vil skulle opdatere de registrerede underskudsoplysninger digitalt i SKATs underskudsregister. Denne opdatering vu</w:t>
      </w:r>
      <w:r>
        <w:rPr>
          <w:iCs/>
          <w:color w:val="000000"/>
          <w:lang w:val="da-DK"/>
        </w:rPr>
        <w:t>r</w:t>
      </w:r>
      <w:r>
        <w:rPr>
          <w:iCs/>
          <w:color w:val="000000"/>
          <w:lang w:val="da-DK"/>
        </w:rPr>
        <w:t>deres dog at svare til</w:t>
      </w:r>
      <w:r w:rsidR="00A424D7">
        <w:rPr>
          <w:iCs/>
          <w:color w:val="000000"/>
          <w:lang w:val="da-DK"/>
        </w:rPr>
        <w:t>,</w:t>
      </w:r>
      <w:r>
        <w:rPr>
          <w:iCs/>
          <w:color w:val="000000"/>
          <w:lang w:val="da-DK"/>
        </w:rPr>
        <w:t xml:space="preserve"> hvad selskaberne m.v. i dag skal specificere for at kunne fremføre og anvende underskud korrekt på selvangivelsen.</w:t>
      </w:r>
    </w:p>
    <w:p w:rsidR="00FE19AF" w:rsidRPr="00C90A4C" w:rsidRDefault="00FE19AF" w:rsidP="00FE19AF">
      <w:pPr>
        <w:spacing w:line="288" w:lineRule="auto"/>
        <w:jc w:val="both"/>
        <w:rPr>
          <w:iCs/>
          <w:color w:val="000000"/>
          <w:lang w:val="da-DK"/>
        </w:rPr>
      </w:pPr>
      <w:r>
        <w:rPr>
          <w:iCs/>
          <w:color w:val="000000"/>
          <w:lang w:val="da-DK"/>
        </w:rPr>
        <w:t xml:space="preserve"> </w:t>
      </w:r>
    </w:p>
    <w:p w:rsidR="00FE19AF" w:rsidRDefault="00FE19AF" w:rsidP="00FE19AF">
      <w:pPr>
        <w:spacing w:line="288" w:lineRule="auto"/>
        <w:jc w:val="both"/>
        <w:rPr>
          <w:i/>
          <w:iCs/>
          <w:color w:val="000000"/>
          <w:lang w:val="da-DK"/>
        </w:rPr>
      </w:pPr>
      <w:r w:rsidRPr="009F1907">
        <w:rPr>
          <w:i/>
          <w:iCs/>
          <w:color w:val="000000"/>
          <w:lang w:val="da-DK"/>
        </w:rPr>
        <w:t xml:space="preserve">9. Administrative konsekvenser for borgerne  </w:t>
      </w:r>
    </w:p>
    <w:p w:rsidR="00FE19AF" w:rsidRDefault="00FE19AF" w:rsidP="00FE19AF">
      <w:pPr>
        <w:spacing w:line="288" w:lineRule="auto"/>
        <w:jc w:val="both"/>
        <w:rPr>
          <w:iCs/>
          <w:color w:val="000000"/>
          <w:lang w:val="da-DK"/>
        </w:rPr>
      </w:pPr>
      <w:r w:rsidRPr="00AE4685">
        <w:rPr>
          <w:iCs/>
          <w:color w:val="000000"/>
          <w:lang w:val="da-DK"/>
        </w:rPr>
        <w:t xml:space="preserve">Lovforslaget </w:t>
      </w:r>
      <w:r>
        <w:rPr>
          <w:iCs/>
          <w:color w:val="000000"/>
          <w:lang w:val="da-DK"/>
        </w:rPr>
        <w:t>indeholder ingen administrative konsekvenser for borgerne.</w:t>
      </w:r>
    </w:p>
    <w:p w:rsidR="00FE19AF" w:rsidRPr="00AE4685" w:rsidRDefault="00FE19AF" w:rsidP="00FE19AF">
      <w:pPr>
        <w:spacing w:line="288" w:lineRule="auto"/>
        <w:jc w:val="both"/>
        <w:rPr>
          <w:iCs/>
          <w:color w:val="000000"/>
          <w:lang w:val="da-DK"/>
        </w:rPr>
      </w:pPr>
      <w:r>
        <w:rPr>
          <w:iCs/>
          <w:color w:val="000000"/>
          <w:lang w:val="da-DK"/>
        </w:rPr>
        <w:t xml:space="preserve"> </w:t>
      </w:r>
    </w:p>
    <w:p w:rsidR="00FE19AF" w:rsidRPr="009F1907" w:rsidRDefault="00FE19AF" w:rsidP="00FE19AF">
      <w:pPr>
        <w:spacing w:line="288" w:lineRule="auto"/>
        <w:jc w:val="both"/>
        <w:rPr>
          <w:i/>
          <w:iCs/>
          <w:color w:val="000000"/>
          <w:lang w:val="da-DK"/>
        </w:rPr>
      </w:pPr>
      <w:r w:rsidRPr="009F1907">
        <w:rPr>
          <w:i/>
          <w:iCs/>
          <w:color w:val="000000"/>
          <w:lang w:val="da-DK"/>
        </w:rPr>
        <w:t>10. Miljømæssige konsekvenser</w:t>
      </w:r>
    </w:p>
    <w:p w:rsidR="00FE19AF" w:rsidRDefault="00FE19AF" w:rsidP="00FE19AF">
      <w:pPr>
        <w:spacing w:line="288" w:lineRule="auto"/>
        <w:jc w:val="both"/>
        <w:rPr>
          <w:i/>
          <w:iCs/>
          <w:color w:val="000000"/>
          <w:lang w:val="da-DK"/>
        </w:rPr>
      </w:pPr>
      <w:r w:rsidRPr="00AE4685">
        <w:rPr>
          <w:iCs/>
          <w:lang w:val="da-DK"/>
        </w:rPr>
        <w:t xml:space="preserve">Lovforslaget indeholder ikke </w:t>
      </w:r>
      <w:r>
        <w:rPr>
          <w:iCs/>
          <w:lang w:val="da-DK"/>
        </w:rPr>
        <w:t>miljømæssige konsekvenser</w:t>
      </w:r>
      <w:r w:rsidRPr="00AE4685">
        <w:rPr>
          <w:iCs/>
          <w:lang w:val="da-DK"/>
        </w:rPr>
        <w:t>.</w:t>
      </w:r>
    </w:p>
    <w:p w:rsidR="00FE19AF" w:rsidRDefault="00FE19AF" w:rsidP="00FE19AF">
      <w:pPr>
        <w:spacing w:line="288" w:lineRule="auto"/>
        <w:jc w:val="both"/>
        <w:rPr>
          <w:i/>
          <w:iCs/>
          <w:color w:val="000000"/>
          <w:lang w:val="da-DK"/>
        </w:rPr>
      </w:pPr>
    </w:p>
    <w:p w:rsidR="00FE19AF" w:rsidRDefault="00FE19AF" w:rsidP="00FE19AF">
      <w:pPr>
        <w:spacing w:line="288" w:lineRule="auto"/>
        <w:jc w:val="both"/>
        <w:rPr>
          <w:i/>
          <w:iCs/>
          <w:color w:val="000000"/>
          <w:lang w:val="da-DK"/>
        </w:rPr>
      </w:pPr>
      <w:r w:rsidRPr="009F1907">
        <w:rPr>
          <w:i/>
          <w:iCs/>
          <w:color w:val="000000"/>
          <w:lang w:val="da-DK"/>
        </w:rPr>
        <w:lastRenderedPageBreak/>
        <w:t>11. Forholdet til EU-retten</w:t>
      </w:r>
    </w:p>
    <w:p w:rsidR="00FE19AF" w:rsidRDefault="00FE19AF" w:rsidP="00FE19AF">
      <w:pPr>
        <w:spacing w:line="288" w:lineRule="auto"/>
        <w:jc w:val="both"/>
        <w:rPr>
          <w:i/>
          <w:iCs/>
          <w:color w:val="000000"/>
          <w:lang w:val="da-DK"/>
        </w:rPr>
      </w:pPr>
      <w:r w:rsidRPr="00AE4685">
        <w:rPr>
          <w:iCs/>
          <w:lang w:val="da-DK"/>
        </w:rPr>
        <w:t>Lovforslaget indeholder ikke EU-retlige aspekter.</w:t>
      </w:r>
    </w:p>
    <w:p w:rsidR="00FE19AF" w:rsidRDefault="00FE19AF" w:rsidP="00FE19AF">
      <w:pPr>
        <w:rPr>
          <w:iCs/>
          <w:lang w:val="da-DK"/>
        </w:rPr>
      </w:pPr>
    </w:p>
    <w:p w:rsidR="00FE19AF" w:rsidRDefault="00FE19AF" w:rsidP="00FE19AF">
      <w:pPr>
        <w:spacing w:line="288" w:lineRule="auto"/>
        <w:jc w:val="both"/>
        <w:rPr>
          <w:i/>
          <w:iCs/>
          <w:color w:val="000000"/>
          <w:lang w:val="da-DK"/>
        </w:rPr>
      </w:pPr>
      <w:r w:rsidRPr="009F1907">
        <w:rPr>
          <w:i/>
          <w:iCs/>
          <w:color w:val="000000"/>
          <w:lang w:val="da-DK"/>
        </w:rPr>
        <w:t xml:space="preserve">12. Hørte myndigheder og organisationer m.v.  </w:t>
      </w:r>
    </w:p>
    <w:p w:rsidR="00FE19AF" w:rsidRPr="00733532" w:rsidRDefault="00FE19AF" w:rsidP="00FE19AF">
      <w:pPr>
        <w:spacing w:line="288" w:lineRule="auto"/>
        <w:jc w:val="both"/>
        <w:rPr>
          <w:iCs/>
          <w:color w:val="000000"/>
          <w:lang w:val="da-DK"/>
        </w:rPr>
      </w:pPr>
      <w:r w:rsidRPr="00733532">
        <w:rPr>
          <w:iCs/>
          <w:color w:val="000000"/>
          <w:lang w:val="da-DK"/>
        </w:rPr>
        <w:t xml:space="preserve">Et udkast til lovforslaget har i perioden den </w:t>
      </w:r>
      <w:r w:rsidR="00A424D7">
        <w:rPr>
          <w:iCs/>
          <w:color w:val="000000"/>
          <w:lang w:val="da-DK"/>
        </w:rPr>
        <w:t>4</w:t>
      </w:r>
      <w:r w:rsidRPr="00733532">
        <w:rPr>
          <w:iCs/>
          <w:color w:val="000000"/>
          <w:lang w:val="da-DK"/>
        </w:rPr>
        <w:t xml:space="preserve">. </w:t>
      </w:r>
      <w:r w:rsidR="00A424D7">
        <w:rPr>
          <w:iCs/>
          <w:color w:val="000000"/>
          <w:lang w:val="da-DK"/>
        </w:rPr>
        <w:t xml:space="preserve">februar </w:t>
      </w:r>
      <w:r w:rsidRPr="00733532">
        <w:rPr>
          <w:iCs/>
          <w:color w:val="000000"/>
          <w:lang w:val="da-DK"/>
        </w:rPr>
        <w:t xml:space="preserve">2015 – den </w:t>
      </w:r>
      <w:r w:rsidR="00877202">
        <w:rPr>
          <w:iCs/>
          <w:color w:val="000000"/>
          <w:lang w:val="da-DK"/>
        </w:rPr>
        <w:t>4</w:t>
      </w:r>
      <w:r w:rsidRPr="00733532">
        <w:rPr>
          <w:iCs/>
          <w:color w:val="000000"/>
          <w:lang w:val="da-DK"/>
        </w:rPr>
        <w:t xml:space="preserve">. </w:t>
      </w:r>
      <w:r w:rsidR="00A424D7">
        <w:rPr>
          <w:iCs/>
          <w:color w:val="000000"/>
          <w:lang w:val="da-DK"/>
        </w:rPr>
        <w:t>marts</w:t>
      </w:r>
      <w:r w:rsidR="00A424D7" w:rsidRPr="00733532">
        <w:rPr>
          <w:iCs/>
          <w:color w:val="000000"/>
          <w:lang w:val="da-DK"/>
        </w:rPr>
        <w:t xml:space="preserve"> </w:t>
      </w:r>
      <w:r w:rsidRPr="00733532">
        <w:rPr>
          <w:iCs/>
          <w:color w:val="000000"/>
          <w:lang w:val="da-DK"/>
        </w:rPr>
        <w:t xml:space="preserve">2015 været sendt i høring hos følgende myndigheder og organisationer m.v.: </w:t>
      </w:r>
    </w:p>
    <w:p w:rsidR="00FE19AF" w:rsidRPr="00733532" w:rsidRDefault="00FE19AF" w:rsidP="00FE19AF">
      <w:pPr>
        <w:spacing w:line="288" w:lineRule="auto"/>
        <w:jc w:val="both"/>
        <w:rPr>
          <w:iCs/>
          <w:color w:val="000000"/>
          <w:lang w:val="da-DK"/>
        </w:rPr>
      </w:pPr>
      <w:bookmarkStart w:id="3" w:name="_GoBack"/>
      <w:bookmarkEnd w:id="3"/>
    </w:p>
    <w:p w:rsidR="00024CF5" w:rsidRPr="00024CF5" w:rsidRDefault="00024CF5" w:rsidP="00024CF5">
      <w:pPr>
        <w:spacing w:line="288" w:lineRule="auto"/>
        <w:jc w:val="both"/>
        <w:rPr>
          <w:iCs/>
          <w:color w:val="000000"/>
          <w:lang w:val="da-DK"/>
        </w:rPr>
      </w:pPr>
      <w:r w:rsidRPr="00024CF5">
        <w:rPr>
          <w:iCs/>
          <w:color w:val="000000"/>
          <w:lang w:val="da-DK"/>
        </w:rPr>
        <w:t>Advokatsamfundet</w:t>
      </w:r>
      <w:r>
        <w:rPr>
          <w:iCs/>
          <w:color w:val="000000"/>
          <w:lang w:val="da-DK"/>
        </w:rPr>
        <w:t xml:space="preserve">, </w:t>
      </w:r>
      <w:r w:rsidRPr="00024CF5">
        <w:rPr>
          <w:iCs/>
          <w:color w:val="000000"/>
          <w:lang w:val="da-DK"/>
        </w:rPr>
        <w:t>Arbejderbevægelsens Erhvervsråd</w:t>
      </w:r>
      <w:r>
        <w:rPr>
          <w:iCs/>
          <w:color w:val="000000"/>
          <w:lang w:val="da-DK"/>
        </w:rPr>
        <w:t xml:space="preserve">, </w:t>
      </w:r>
      <w:r w:rsidRPr="00024CF5">
        <w:rPr>
          <w:iCs/>
          <w:color w:val="000000"/>
          <w:lang w:val="da-DK"/>
        </w:rPr>
        <w:t>ATP</w:t>
      </w:r>
      <w:r>
        <w:rPr>
          <w:iCs/>
          <w:color w:val="000000"/>
          <w:lang w:val="da-DK"/>
        </w:rPr>
        <w:t xml:space="preserve">, </w:t>
      </w:r>
      <w:r w:rsidRPr="00024CF5">
        <w:rPr>
          <w:iCs/>
          <w:color w:val="000000"/>
          <w:lang w:val="da-DK"/>
        </w:rPr>
        <w:t>borger- og retssikkerhedschefen i SKAT</w:t>
      </w:r>
      <w:r>
        <w:rPr>
          <w:iCs/>
          <w:color w:val="000000"/>
          <w:lang w:val="da-DK"/>
        </w:rPr>
        <w:t xml:space="preserve">, </w:t>
      </w:r>
      <w:r w:rsidRPr="00024CF5">
        <w:rPr>
          <w:iCs/>
          <w:color w:val="000000"/>
          <w:lang w:val="da-DK"/>
        </w:rPr>
        <w:t>CEPOS</w:t>
      </w:r>
      <w:r w:rsidR="00483712">
        <w:rPr>
          <w:iCs/>
          <w:color w:val="000000"/>
          <w:lang w:val="da-DK"/>
        </w:rPr>
        <w:t xml:space="preserve">, </w:t>
      </w:r>
      <w:r w:rsidRPr="00024CF5">
        <w:rPr>
          <w:iCs/>
          <w:color w:val="000000"/>
          <w:lang w:val="da-DK"/>
        </w:rPr>
        <w:t>Cevea</w:t>
      </w:r>
      <w:r w:rsidR="00483712">
        <w:rPr>
          <w:iCs/>
          <w:color w:val="000000"/>
          <w:lang w:val="da-DK"/>
        </w:rPr>
        <w:t xml:space="preserve">, </w:t>
      </w:r>
      <w:r w:rsidRPr="00024CF5">
        <w:rPr>
          <w:iCs/>
          <w:color w:val="000000"/>
          <w:lang w:val="da-DK"/>
        </w:rPr>
        <w:t>Danmarks Rederiforening</w:t>
      </w:r>
      <w:r w:rsidR="00483712">
        <w:rPr>
          <w:iCs/>
          <w:color w:val="000000"/>
          <w:lang w:val="da-DK"/>
        </w:rPr>
        <w:t xml:space="preserve">, </w:t>
      </w:r>
      <w:r w:rsidRPr="00024CF5">
        <w:rPr>
          <w:iCs/>
          <w:color w:val="000000"/>
          <w:lang w:val="da-DK"/>
        </w:rPr>
        <w:t>Dansk Byggeri</w:t>
      </w:r>
      <w:r w:rsidR="00483712">
        <w:rPr>
          <w:iCs/>
          <w:color w:val="000000"/>
          <w:lang w:val="da-DK"/>
        </w:rPr>
        <w:t xml:space="preserve">, </w:t>
      </w:r>
      <w:r w:rsidRPr="00024CF5">
        <w:rPr>
          <w:iCs/>
          <w:color w:val="000000"/>
          <w:lang w:val="da-DK"/>
        </w:rPr>
        <w:t>Dansk Erhverv</w:t>
      </w:r>
      <w:r w:rsidR="00483712">
        <w:rPr>
          <w:iCs/>
          <w:color w:val="000000"/>
          <w:lang w:val="da-DK"/>
        </w:rPr>
        <w:t xml:space="preserve">, </w:t>
      </w:r>
      <w:r w:rsidRPr="00024CF5">
        <w:rPr>
          <w:iCs/>
          <w:color w:val="000000"/>
          <w:lang w:val="da-DK"/>
        </w:rPr>
        <w:t>Dansk Ivær</w:t>
      </w:r>
      <w:r w:rsidRPr="00024CF5">
        <w:rPr>
          <w:iCs/>
          <w:color w:val="000000"/>
          <w:lang w:val="da-DK"/>
        </w:rPr>
        <w:t>k</w:t>
      </w:r>
      <w:r w:rsidRPr="00024CF5">
        <w:rPr>
          <w:iCs/>
          <w:color w:val="000000"/>
          <w:lang w:val="da-DK"/>
        </w:rPr>
        <w:t>sætterforening</w:t>
      </w:r>
      <w:r w:rsidR="00483712">
        <w:rPr>
          <w:iCs/>
          <w:color w:val="000000"/>
          <w:lang w:val="da-DK"/>
        </w:rPr>
        <w:t xml:space="preserve">, </w:t>
      </w:r>
      <w:r w:rsidRPr="00024CF5">
        <w:rPr>
          <w:iCs/>
          <w:color w:val="000000"/>
          <w:lang w:val="da-DK"/>
        </w:rPr>
        <w:t>Danske Advokater</w:t>
      </w:r>
      <w:r w:rsidR="00483712">
        <w:rPr>
          <w:iCs/>
          <w:color w:val="000000"/>
          <w:lang w:val="da-DK"/>
        </w:rPr>
        <w:t xml:space="preserve">, </w:t>
      </w:r>
      <w:r w:rsidRPr="00024CF5">
        <w:rPr>
          <w:iCs/>
          <w:color w:val="000000"/>
          <w:lang w:val="da-DK"/>
        </w:rPr>
        <w:t>DI</w:t>
      </w:r>
      <w:r w:rsidR="00483712">
        <w:rPr>
          <w:iCs/>
          <w:color w:val="000000"/>
          <w:lang w:val="da-DK"/>
        </w:rPr>
        <w:t xml:space="preserve">, </w:t>
      </w:r>
      <w:r w:rsidRPr="00024CF5">
        <w:rPr>
          <w:iCs/>
          <w:color w:val="000000"/>
          <w:lang w:val="da-DK"/>
        </w:rPr>
        <w:t>DVCA</w:t>
      </w:r>
      <w:r w:rsidR="00483712">
        <w:rPr>
          <w:iCs/>
          <w:color w:val="000000"/>
          <w:lang w:val="da-DK"/>
        </w:rPr>
        <w:t xml:space="preserve">, </w:t>
      </w:r>
      <w:r w:rsidRPr="00024CF5">
        <w:rPr>
          <w:iCs/>
          <w:color w:val="000000"/>
          <w:lang w:val="da-DK"/>
        </w:rPr>
        <w:t>Ejerlederne</w:t>
      </w:r>
      <w:r w:rsidR="00483712">
        <w:rPr>
          <w:iCs/>
          <w:color w:val="000000"/>
          <w:lang w:val="da-DK"/>
        </w:rPr>
        <w:t xml:space="preserve">, </w:t>
      </w:r>
      <w:r w:rsidRPr="00024CF5">
        <w:rPr>
          <w:iCs/>
          <w:color w:val="000000"/>
          <w:lang w:val="da-DK"/>
        </w:rPr>
        <w:t>Erhvervsstyrelsen – Team Effektiv Regulering</w:t>
      </w:r>
      <w:r w:rsidR="00483712">
        <w:rPr>
          <w:iCs/>
          <w:color w:val="000000"/>
          <w:lang w:val="da-DK"/>
        </w:rPr>
        <w:t xml:space="preserve">, </w:t>
      </w:r>
      <w:r w:rsidRPr="00024CF5">
        <w:rPr>
          <w:iCs/>
          <w:color w:val="000000"/>
          <w:lang w:val="da-DK"/>
        </w:rPr>
        <w:t>Finansrådet</w:t>
      </w:r>
      <w:r w:rsidR="00483712">
        <w:rPr>
          <w:iCs/>
          <w:color w:val="000000"/>
          <w:lang w:val="da-DK"/>
        </w:rPr>
        <w:t xml:space="preserve">, </w:t>
      </w:r>
      <w:r w:rsidRPr="00024CF5">
        <w:rPr>
          <w:iCs/>
          <w:color w:val="000000"/>
          <w:lang w:val="da-DK"/>
        </w:rPr>
        <w:t>Forsikring &amp; Pension</w:t>
      </w:r>
      <w:r w:rsidR="00483712">
        <w:rPr>
          <w:iCs/>
          <w:color w:val="000000"/>
          <w:lang w:val="da-DK"/>
        </w:rPr>
        <w:t xml:space="preserve">, </w:t>
      </w:r>
      <w:r w:rsidRPr="00024CF5">
        <w:rPr>
          <w:iCs/>
          <w:color w:val="000000"/>
          <w:lang w:val="da-DK"/>
        </w:rPr>
        <w:t>FSR - danske revisorer</w:t>
      </w:r>
      <w:r w:rsidR="00483712">
        <w:rPr>
          <w:iCs/>
          <w:color w:val="000000"/>
          <w:lang w:val="da-DK"/>
        </w:rPr>
        <w:t xml:space="preserve">, </w:t>
      </w:r>
      <w:r w:rsidRPr="00024CF5">
        <w:rPr>
          <w:iCs/>
          <w:color w:val="000000"/>
          <w:lang w:val="da-DK"/>
        </w:rPr>
        <w:t>Håndværksrådet</w:t>
      </w:r>
      <w:r w:rsidR="00483712">
        <w:rPr>
          <w:iCs/>
          <w:color w:val="000000"/>
          <w:lang w:val="da-DK"/>
        </w:rPr>
        <w:t xml:space="preserve">, </w:t>
      </w:r>
      <w:r w:rsidRPr="00024CF5">
        <w:rPr>
          <w:iCs/>
          <w:color w:val="000000"/>
          <w:lang w:val="da-DK"/>
        </w:rPr>
        <w:t>KL</w:t>
      </w:r>
      <w:r w:rsidR="00483712">
        <w:rPr>
          <w:iCs/>
          <w:color w:val="000000"/>
          <w:lang w:val="da-DK"/>
        </w:rPr>
        <w:t xml:space="preserve">, </w:t>
      </w:r>
      <w:r w:rsidRPr="00024CF5">
        <w:rPr>
          <w:iCs/>
          <w:color w:val="000000"/>
          <w:lang w:val="da-DK"/>
        </w:rPr>
        <w:t>Landbrug &amp; Fødevarer</w:t>
      </w:r>
      <w:r w:rsidR="00483712">
        <w:rPr>
          <w:iCs/>
          <w:color w:val="000000"/>
          <w:lang w:val="da-DK"/>
        </w:rPr>
        <w:t xml:space="preserve">, </w:t>
      </w:r>
      <w:r w:rsidRPr="00024CF5">
        <w:rPr>
          <w:iCs/>
          <w:color w:val="000000"/>
          <w:lang w:val="da-DK"/>
        </w:rPr>
        <w:t>Landsskatteretten</w:t>
      </w:r>
      <w:r w:rsidR="00483712">
        <w:rPr>
          <w:iCs/>
          <w:color w:val="000000"/>
          <w:lang w:val="da-DK"/>
        </w:rPr>
        <w:t xml:space="preserve">, </w:t>
      </w:r>
      <w:r w:rsidRPr="00024CF5">
        <w:rPr>
          <w:iCs/>
          <w:color w:val="000000"/>
          <w:lang w:val="da-DK"/>
        </w:rPr>
        <w:t>Lokale Pengeinstitutter</w:t>
      </w:r>
      <w:r w:rsidR="00483712">
        <w:rPr>
          <w:iCs/>
          <w:color w:val="000000"/>
          <w:lang w:val="da-DK"/>
        </w:rPr>
        <w:t xml:space="preserve">, </w:t>
      </w:r>
      <w:r w:rsidRPr="00024CF5">
        <w:rPr>
          <w:iCs/>
          <w:color w:val="000000"/>
          <w:lang w:val="da-DK"/>
        </w:rPr>
        <w:t>Lønmodtagernes Dyrtidsfond</w:t>
      </w:r>
    </w:p>
    <w:p w:rsidR="00024CF5" w:rsidRPr="00024CF5" w:rsidRDefault="00024CF5" w:rsidP="00483712">
      <w:pPr>
        <w:spacing w:line="288" w:lineRule="auto"/>
        <w:jc w:val="both"/>
        <w:rPr>
          <w:iCs/>
          <w:color w:val="000000"/>
          <w:lang w:val="da-DK"/>
        </w:rPr>
      </w:pPr>
      <w:r w:rsidRPr="00024CF5">
        <w:rPr>
          <w:iCs/>
          <w:color w:val="000000"/>
          <w:lang w:val="da-DK"/>
        </w:rPr>
        <w:t>Nasdaq OMX Copenhagen A/S</w:t>
      </w:r>
      <w:r w:rsidR="00483712">
        <w:rPr>
          <w:iCs/>
          <w:color w:val="000000"/>
          <w:lang w:val="da-DK"/>
        </w:rPr>
        <w:t xml:space="preserve">, </w:t>
      </w:r>
      <w:r w:rsidRPr="00024CF5">
        <w:rPr>
          <w:iCs/>
          <w:color w:val="000000"/>
          <w:lang w:val="da-DK"/>
        </w:rPr>
        <w:t>SEGES</w:t>
      </w:r>
      <w:r w:rsidR="00483712">
        <w:rPr>
          <w:iCs/>
          <w:color w:val="000000"/>
          <w:lang w:val="da-DK"/>
        </w:rPr>
        <w:t xml:space="preserve">, </w:t>
      </w:r>
      <w:r w:rsidRPr="00024CF5">
        <w:rPr>
          <w:iCs/>
          <w:color w:val="000000"/>
          <w:lang w:val="da-DK"/>
        </w:rPr>
        <w:t>Skatteankestyrelsen</w:t>
      </w:r>
      <w:r w:rsidR="00483712">
        <w:rPr>
          <w:iCs/>
          <w:color w:val="000000"/>
          <w:lang w:val="da-DK"/>
        </w:rPr>
        <w:t xml:space="preserve">, </w:t>
      </w:r>
      <w:r w:rsidRPr="00024CF5">
        <w:rPr>
          <w:iCs/>
          <w:color w:val="000000"/>
          <w:lang w:val="da-DK"/>
        </w:rPr>
        <w:t>SRF Skattefaglig Forening</w:t>
      </w:r>
      <w:r w:rsidR="00483712">
        <w:rPr>
          <w:iCs/>
          <w:color w:val="000000"/>
          <w:lang w:val="da-DK"/>
        </w:rPr>
        <w:t>.</w:t>
      </w:r>
    </w:p>
    <w:p w:rsidR="00FE19AF" w:rsidRPr="00A77DC9" w:rsidRDefault="00FE19AF" w:rsidP="00E26AE0">
      <w:pPr>
        <w:spacing w:line="288" w:lineRule="auto"/>
        <w:jc w:val="both"/>
        <w:rPr>
          <w:i/>
          <w:iCs/>
          <w:color w:val="000000"/>
          <w:lang w:val="da-DK"/>
        </w:rPr>
      </w:pPr>
    </w:p>
    <w:p w:rsidR="00FE19AF" w:rsidRPr="0074598E" w:rsidRDefault="00FE19AF" w:rsidP="00FE19AF">
      <w:pPr>
        <w:spacing w:line="288" w:lineRule="auto"/>
        <w:jc w:val="both"/>
        <w:rPr>
          <w:i/>
          <w:iCs/>
          <w:color w:val="000000"/>
          <w:lang w:val="da-DK"/>
        </w:rPr>
      </w:pPr>
      <w:r w:rsidRPr="0074598E">
        <w:rPr>
          <w:i/>
          <w:iCs/>
          <w:color w:val="000000"/>
          <w:lang w:val="da-DK"/>
        </w:rPr>
        <w:t xml:space="preserve">13. Sammenfattende skema </w:t>
      </w:r>
    </w:p>
    <w:p w:rsidR="00FE19AF" w:rsidRPr="0074598E" w:rsidRDefault="00FE19AF" w:rsidP="00FE19AF">
      <w:pPr>
        <w:ind w:right="1"/>
        <w:jc w:val="center"/>
        <w:rPr>
          <w:b/>
          <w:bCs/>
          <w:color w:val="000000"/>
          <w:lang w:val="da-DK"/>
        </w:rPr>
      </w:pPr>
    </w:p>
    <w:p w:rsidR="0036355D" w:rsidRPr="009F1907" w:rsidRDefault="0036355D" w:rsidP="0036355D">
      <w:pPr>
        <w:ind w:right="1"/>
        <w:jc w:val="center"/>
        <w:rPr>
          <w:b/>
          <w:bCs/>
          <w:color w:val="000000"/>
          <w:lang w:val="da-DK"/>
        </w:rPr>
      </w:pPr>
    </w:p>
    <w:p w:rsidR="0036355D" w:rsidRPr="009F1907" w:rsidRDefault="0036355D" w:rsidP="0036355D">
      <w:pPr>
        <w:ind w:right="1"/>
        <w:jc w:val="center"/>
        <w:rPr>
          <w:b/>
          <w:bCs/>
          <w:color w:val="000000"/>
          <w:lang w:val="da-DK"/>
        </w:rPr>
      </w:pPr>
      <w:r w:rsidRPr="009F1907">
        <w:rPr>
          <w:b/>
          <w:bCs/>
          <w:color w:val="000000"/>
          <w:lang w:val="da-DK"/>
        </w:rPr>
        <w:t>Samlet vurdering af konsekvenser af lovforslaget</w:t>
      </w:r>
    </w:p>
    <w:p w:rsidR="0036355D" w:rsidRPr="009F1907" w:rsidRDefault="0036355D" w:rsidP="0036355D">
      <w:pPr>
        <w:ind w:right="1"/>
        <w:jc w:val="center"/>
        <w:rPr>
          <w:b/>
          <w:bCs/>
          <w:color w:val="000000"/>
          <w:lang w:val="da-DK"/>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449"/>
        <w:gridCol w:w="3313"/>
      </w:tblGrid>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tcPr>
          <w:p w:rsidR="0036355D" w:rsidRPr="009F1907" w:rsidRDefault="0036355D" w:rsidP="004D2147">
            <w:pPr>
              <w:widowControl w:val="0"/>
              <w:autoSpaceDE w:val="0"/>
              <w:autoSpaceDN w:val="0"/>
              <w:adjustRightInd w:val="0"/>
              <w:rPr>
                <w:color w:val="000000"/>
                <w:lang w:val="da-DK"/>
              </w:rPr>
            </w:pPr>
          </w:p>
        </w:tc>
        <w:tc>
          <w:tcPr>
            <w:tcW w:w="1750"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Negative konsekve</w:t>
            </w:r>
            <w:r w:rsidRPr="009F1907">
              <w:rPr>
                <w:color w:val="000000"/>
                <w:lang w:val="da-DK"/>
              </w:rPr>
              <w:t>n</w:t>
            </w:r>
            <w:r w:rsidRPr="009F1907">
              <w:rPr>
                <w:color w:val="000000"/>
                <w:lang w:val="da-DK"/>
              </w:rPr>
              <w:t>ser/merudgifter</w:t>
            </w:r>
          </w:p>
        </w:tc>
      </w:tr>
      <w:tr w:rsidR="0036355D" w:rsidRPr="00BC020A"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BC020A" w:rsidP="004D2147">
            <w:pPr>
              <w:pStyle w:val="Sidefod"/>
              <w:tabs>
                <w:tab w:val="left" w:pos="1304"/>
              </w:tabs>
              <w:rPr>
                <w:color w:val="000000"/>
                <w:sz w:val="24"/>
              </w:rPr>
            </w:pPr>
            <w:r>
              <w:rPr>
                <w:color w:val="000000"/>
                <w:sz w:val="24"/>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BC020A" w:rsidP="004D2147">
            <w:pPr>
              <w:widowControl w:val="0"/>
              <w:autoSpaceDE w:val="0"/>
              <w:autoSpaceDN w:val="0"/>
              <w:adjustRightInd w:val="0"/>
              <w:rPr>
                <w:color w:val="000000"/>
                <w:lang w:val="da-DK"/>
              </w:rPr>
            </w:pPr>
            <w:r>
              <w:rPr>
                <w:color w:val="000000"/>
                <w:lang w:val="da-DK"/>
              </w:rPr>
              <w:t>Forslaget kan potentielt reduc</w:t>
            </w:r>
            <w:r>
              <w:rPr>
                <w:color w:val="000000"/>
                <w:lang w:val="da-DK"/>
              </w:rPr>
              <w:t>e</w:t>
            </w:r>
            <w:r>
              <w:rPr>
                <w:color w:val="000000"/>
                <w:lang w:val="da-DK"/>
              </w:rPr>
              <w:t>re det forventede merprovenu som følge af indførelsen af u</w:t>
            </w:r>
            <w:r>
              <w:rPr>
                <w:color w:val="000000"/>
                <w:lang w:val="da-DK"/>
              </w:rPr>
              <w:t>n</w:t>
            </w:r>
            <w:r>
              <w:rPr>
                <w:color w:val="000000"/>
                <w:lang w:val="da-DK"/>
              </w:rPr>
              <w:t>derskudsregistret marginalt.</w:t>
            </w:r>
          </w:p>
        </w:tc>
      </w:tr>
      <w:tr w:rsidR="0036355D" w:rsidRPr="006360E6"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50AEF"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E26AE0" w:rsidP="00177CC8">
            <w:pPr>
              <w:rPr>
                <w:color w:val="000000"/>
                <w:lang w:val="da-DK"/>
              </w:rPr>
            </w:pPr>
            <w:r>
              <w:rPr>
                <w:color w:val="000000"/>
              </w:rPr>
              <w:t xml:space="preserve">Op </w:t>
            </w:r>
            <w:r w:rsidRPr="00E26AE0">
              <w:rPr>
                <w:color w:val="000000"/>
                <w:lang w:val="da-DK"/>
              </w:rPr>
              <w:t>til</w:t>
            </w:r>
            <w:r>
              <w:rPr>
                <w:color w:val="000000"/>
              </w:rPr>
              <w:t xml:space="preserve"> </w:t>
            </w:r>
            <w:r w:rsidR="00750AEF">
              <w:rPr>
                <w:color w:val="000000"/>
              </w:rPr>
              <w:t>1 årsværk</w:t>
            </w:r>
            <w:r w:rsidR="00750AEF" w:rsidRPr="00E26AE0">
              <w:rPr>
                <w:color w:val="000000"/>
                <w:lang w:val="da-DK"/>
              </w:rPr>
              <w:t xml:space="preserve"> i</w:t>
            </w:r>
            <w:r w:rsidR="00750AEF" w:rsidRPr="00243971">
              <w:rPr>
                <w:color w:val="000000"/>
              </w:rPr>
              <w:t xml:space="preserve"> 2015</w:t>
            </w:r>
            <w:r w:rsidR="00750AEF">
              <w:rPr>
                <w:color w:val="000000"/>
              </w:rPr>
              <w:t>.</w:t>
            </w:r>
          </w:p>
        </w:tc>
      </w:tr>
      <w:tr w:rsidR="0036355D" w:rsidRPr="00FE40BF"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524E12" w:rsidP="00524E12">
            <w:pPr>
              <w:widowControl w:val="0"/>
              <w:autoSpaceDE w:val="0"/>
              <w:autoSpaceDN w:val="0"/>
              <w:adjustRightInd w:val="0"/>
              <w:rPr>
                <w:color w:val="000000"/>
                <w:lang w:val="da-DK"/>
              </w:rPr>
            </w:pPr>
            <w:r>
              <w:rPr>
                <w:color w:val="000000"/>
                <w:lang w:val="da-DK"/>
              </w:rPr>
              <w:t>Sanktionen om fortabelse af u</w:t>
            </w:r>
            <w:r>
              <w:rPr>
                <w:color w:val="000000"/>
                <w:lang w:val="da-DK"/>
              </w:rPr>
              <w:t>n</w:t>
            </w:r>
            <w:r>
              <w:rPr>
                <w:color w:val="000000"/>
                <w:lang w:val="da-DK"/>
              </w:rPr>
              <w:t xml:space="preserve">derskud foreslås erstattet af et tillæg på 5.000 kr. </w:t>
            </w:r>
            <w:r w:rsidR="00A6351A" w:rsidRPr="00A6351A">
              <w:rPr>
                <w:color w:val="000000"/>
                <w:lang w:val="da-DK"/>
              </w:rPr>
              <w:t>Ændringen vil for den væsentligste del af de berørte selskaber m.v. betyde en reduceret udgift</w:t>
            </w:r>
            <w:r w:rsidR="00A6351A">
              <w:rPr>
                <w:color w:val="000000"/>
                <w:lang w:val="da-DK"/>
              </w:rPr>
              <w:t>.</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483712" w:rsidP="004D2147">
            <w:pPr>
              <w:widowControl w:val="0"/>
              <w:autoSpaceDE w:val="0"/>
              <w:autoSpaceDN w:val="0"/>
              <w:adjustRightInd w:val="0"/>
              <w:rPr>
                <w:color w:val="000000"/>
                <w:lang w:val="da-DK"/>
              </w:rPr>
            </w:pPr>
            <w:r>
              <w:rPr>
                <w:color w:val="000000"/>
                <w:lang w:val="da-DK"/>
              </w:rPr>
              <w:t>Ingen</w:t>
            </w:r>
          </w:p>
        </w:tc>
      </w:tr>
      <w:tr w:rsidR="0036355D" w:rsidRPr="00FE40BF"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524E12"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524E12" w:rsidP="004D2147">
            <w:pPr>
              <w:widowControl w:val="0"/>
              <w:autoSpaceDE w:val="0"/>
              <w:autoSpaceDN w:val="0"/>
              <w:adjustRightInd w:val="0"/>
              <w:rPr>
                <w:color w:val="000000"/>
                <w:lang w:val="da-DK"/>
              </w:rPr>
            </w:pPr>
            <w:r>
              <w:rPr>
                <w:color w:val="000000"/>
                <w:lang w:val="da-DK"/>
              </w:rPr>
              <w:t>Ingen nævneværdige kons</w:t>
            </w:r>
            <w:r>
              <w:rPr>
                <w:color w:val="000000"/>
                <w:lang w:val="da-DK"/>
              </w:rPr>
              <w:t>e</w:t>
            </w:r>
            <w:r>
              <w:rPr>
                <w:color w:val="000000"/>
                <w:lang w:val="da-DK"/>
              </w:rPr>
              <w:t>kvenser</w:t>
            </w:r>
          </w:p>
        </w:tc>
      </w:tr>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FE19AF"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FE19AF" w:rsidP="004D2147">
            <w:pPr>
              <w:widowControl w:val="0"/>
              <w:autoSpaceDE w:val="0"/>
              <w:autoSpaceDN w:val="0"/>
              <w:adjustRightInd w:val="0"/>
              <w:rPr>
                <w:color w:val="000000"/>
                <w:lang w:val="da-DK"/>
              </w:rPr>
            </w:pPr>
            <w:r>
              <w:rPr>
                <w:color w:val="000000"/>
                <w:lang w:val="da-DK"/>
              </w:rPr>
              <w:t>Ingen</w:t>
            </w:r>
          </w:p>
        </w:tc>
      </w:tr>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FE19AF"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FE19AF" w:rsidP="004D2147">
            <w:pPr>
              <w:widowControl w:val="0"/>
              <w:autoSpaceDE w:val="0"/>
              <w:autoSpaceDN w:val="0"/>
              <w:adjustRightInd w:val="0"/>
              <w:rPr>
                <w:color w:val="000000"/>
                <w:lang w:val="da-DK"/>
              </w:rPr>
            </w:pPr>
            <w:r>
              <w:rPr>
                <w:color w:val="000000"/>
                <w:lang w:val="da-DK"/>
              </w:rPr>
              <w:t>Ingen</w:t>
            </w:r>
          </w:p>
        </w:tc>
      </w:tr>
      <w:tr w:rsidR="0036355D" w:rsidRPr="00E3656E" w:rsidTr="004D2147">
        <w:trPr>
          <w:cantSplit/>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6355D" w:rsidRPr="009F1907" w:rsidRDefault="00FE19AF" w:rsidP="004D2147">
            <w:pPr>
              <w:widowControl w:val="0"/>
              <w:autoSpaceDE w:val="0"/>
              <w:autoSpaceDN w:val="0"/>
              <w:adjustRightInd w:val="0"/>
              <w:jc w:val="both"/>
              <w:rPr>
                <w:color w:val="000000"/>
                <w:lang w:val="da-DK"/>
              </w:rPr>
            </w:pPr>
            <w:r w:rsidRPr="00AE4685">
              <w:rPr>
                <w:iCs/>
                <w:lang w:val="da-DK"/>
              </w:rPr>
              <w:t>Lovforslaget indeholder ikke EU-retlige aspekter.</w:t>
            </w:r>
          </w:p>
        </w:tc>
      </w:tr>
    </w:tbl>
    <w:p w:rsidR="0036355D" w:rsidRDefault="0036355D" w:rsidP="0036355D">
      <w:pPr>
        <w:ind w:right="1"/>
        <w:rPr>
          <w:color w:val="000000"/>
          <w:lang w:val="da-DK"/>
        </w:rPr>
      </w:pPr>
    </w:p>
    <w:p w:rsidR="007351B0" w:rsidRPr="009F1907" w:rsidRDefault="007351B0" w:rsidP="0036355D">
      <w:pPr>
        <w:ind w:right="1"/>
        <w:rPr>
          <w:color w:val="000000"/>
          <w:lang w:val="da-DK"/>
        </w:rPr>
      </w:pPr>
    </w:p>
    <w:p w:rsidR="0036355D" w:rsidRDefault="0036355D" w:rsidP="0036355D">
      <w:pPr>
        <w:ind w:right="1"/>
        <w:rPr>
          <w:b/>
          <w:color w:val="000000"/>
          <w:lang w:val="da-DK"/>
        </w:rPr>
      </w:pPr>
    </w:p>
    <w:p w:rsidR="00CB7200" w:rsidRPr="009F1907" w:rsidRDefault="00CB7200" w:rsidP="0036355D">
      <w:pPr>
        <w:ind w:right="1"/>
        <w:rPr>
          <w:b/>
          <w:color w:val="000000"/>
          <w:lang w:val="da-DK"/>
        </w:rPr>
      </w:pPr>
    </w:p>
    <w:p w:rsidR="0036355D" w:rsidRPr="009F1907" w:rsidRDefault="0036355D" w:rsidP="0036355D">
      <w:pPr>
        <w:jc w:val="center"/>
        <w:rPr>
          <w:i/>
          <w:iCs/>
          <w:color w:val="000000"/>
          <w:lang w:val="da-DK"/>
        </w:rPr>
      </w:pPr>
      <w:r w:rsidRPr="009F1907">
        <w:rPr>
          <w:i/>
          <w:iCs/>
          <w:color w:val="000000"/>
          <w:lang w:val="da-DK"/>
        </w:rPr>
        <w:t>Bemærkninger til lovforslagets enkelte bestemmelser</w:t>
      </w:r>
    </w:p>
    <w:p w:rsidR="0036355D" w:rsidRPr="009F1907" w:rsidRDefault="0036355D" w:rsidP="0036355D">
      <w:pPr>
        <w:rPr>
          <w:color w:val="000000"/>
          <w:lang w:val="da-DK"/>
        </w:rPr>
      </w:pPr>
    </w:p>
    <w:p w:rsidR="0036355D" w:rsidRPr="009F1907" w:rsidRDefault="0036355D" w:rsidP="0036355D">
      <w:pPr>
        <w:rPr>
          <w:color w:val="000000"/>
          <w:lang w:val="da-DK"/>
        </w:rPr>
      </w:pPr>
    </w:p>
    <w:p w:rsidR="0036355D" w:rsidRDefault="0036355D" w:rsidP="0036355D">
      <w:pPr>
        <w:jc w:val="center"/>
        <w:rPr>
          <w:i/>
          <w:iCs/>
          <w:color w:val="000000"/>
          <w:lang w:val="da-DK"/>
        </w:rPr>
      </w:pPr>
      <w:r w:rsidRPr="009F1907">
        <w:rPr>
          <w:i/>
          <w:iCs/>
          <w:color w:val="000000"/>
          <w:lang w:val="da-DK"/>
        </w:rPr>
        <w:t>Til § 1</w:t>
      </w:r>
    </w:p>
    <w:p w:rsidR="007D6CB1" w:rsidRPr="009F1907" w:rsidRDefault="007D6CB1" w:rsidP="007D6CB1">
      <w:pPr>
        <w:spacing w:line="288" w:lineRule="auto"/>
        <w:rPr>
          <w:color w:val="000000"/>
          <w:lang w:val="da-DK"/>
        </w:rPr>
      </w:pPr>
      <w:r w:rsidRPr="009F1907">
        <w:rPr>
          <w:color w:val="000000"/>
          <w:lang w:val="da-DK"/>
        </w:rPr>
        <w:t>Til nr. 1</w:t>
      </w:r>
    </w:p>
    <w:p w:rsidR="007D6CB1" w:rsidRDefault="007D6CB1" w:rsidP="007D6CB1">
      <w:pPr>
        <w:spacing w:line="288" w:lineRule="auto"/>
        <w:jc w:val="both"/>
        <w:rPr>
          <w:color w:val="000000"/>
          <w:lang w:val="da-DK"/>
        </w:rPr>
      </w:pPr>
      <w:r>
        <w:rPr>
          <w:color w:val="000000"/>
          <w:lang w:val="da-DK"/>
        </w:rPr>
        <w:t xml:space="preserve">Det foreslås at ændre selskabsskattelovens § 35 således, at underskud ikke fortabes ved manglende rettidig indberetning, men at selskaberne m.v. alene pålægges at betale et administrativt tillæg. </w:t>
      </w:r>
    </w:p>
    <w:p w:rsidR="007D6CB1" w:rsidRDefault="007D6CB1" w:rsidP="007D6CB1">
      <w:pPr>
        <w:spacing w:line="288" w:lineRule="auto"/>
        <w:jc w:val="both"/>
        <w:rPr>
          <w:color w:val="000000"/>
          <w:lang w:val="da-DK"/>
        </w:rPr>
      </w:pPr>
    </w:p>
    <w:p w:rsidR="007D6CB1" w:rsidRDefault="007D6CB1" w:rsidP="007D6CB1">
      <w:pPr>
        <w:spacing w:line="288" w:lineRule="auto"/>
        <w:jc w:val="both"/>
        <w:rPr>
          <w:color w:val="000000"/>
          <w:lang w:val="da-DK"/>
        </w:rPr>
      </w:pPr>
      <w:r w:rsidRPr="00AE581F">
        <w:rPr>
          <w:color w:val="000000"/>
          <w:lang w:val="da-DK"/>
        </w:rPr>
        <w:t>Indberetter et selskab</w:t>
      </w:r>
      <w:r>
        <w:rPr>
          <w:color w:val="000000"/>
          <w:lang w:val="da-DK"/>
        </w:rPr>
        <w:t xml:space="preserve"> m.v.</w:t>
      </w:r>
      <w:r w:rsidRPr="00AE581F">
        <w:rPr>
          <w:color w:val="000000"/>
          <w:lang w:val="da-DK"/>
        </w:rPr>
        <w:t xml:space="preserve"> ikke </w:t>
      </w:r>
      <w:r w:rsidR="00AD4DED">
        <w:rPr>
          <w:color w:val="000000"/>
          <w:lang w:val="da-DK"/>
        </w:rPr>
        <w:t xml:space="preserve">underskud </w:t>
      </w:r>
      <w:r w:rsidRPr="00AE581F">
        <w:rPr>
          <w:color w:val="000000"/>
          <w:lang w:val="da-DK"/>
        </w:rPr>
        <w:t>til SKAT senest inden udløbet af selvangivelsesfristen, skal selskabet betale et tillæg på 5.000 kr.  Beløbet svarer til det skattetillæg, som efter skatteko</w:t>
      </w:r>
      <w:r w:rsidRPr="00AE581F">
        <w:rPr>
          <w:color w:val="000000"/>
          <w:lang w:val="da-DK"/>
        </w:rPr>
        <w:t>n</w:t>
      </w:r>
      <w:r w:rsidRPr="00AE581F">
        <w:rPr>
          <w:color w:val="000000"/>
          <w:lang w:val="da-DK"/>
        </w:rPr>
        <w:t xml:space="preserve">trollovens § 5, stk. 1, maksimalt kan pålægges ved for sen indgiven selvangivelse. Tillægget </w:t>
      </w:r>
      <w:r w:rsidR="00D2671C">
        <w:rPr>
          <w:color w:val="000000"/>
          <w:lang w:val="da-DK"/>
        </w:rPr>
        <w:t>pålæ</w:t>
      </w:r>
      <w:r w:rsidR="00D2671C">
        <w:rPr>
          <w:color w:val="000000"/>
          <w:lang w:val="da-DK"/>
        </w:rPr>
        <w:t>g</w:t>
      </w:r>
      <w:r w:rsidR="00D2671C">
        <w:rPr>
          <w:color w:val="000000"/>
          <w:lang w:val="da-DK"/>
        </w:rPr>
        <w:t xml:space="preserve">ges </w:t>
      </w:r>
      <w:r w:rsidRPr="00AE581F">
        <w:rPr>
          <w:color w:val="000000"/>
          <w:lang w:val="da-DK"/>
        </w:rPr>
        <w:t xml:space="preserve">ved siden af skattetillægget. Ligesom skattetillægget tilfalder det foreslåede tillæg staten. </w:t>
      </w:r>
    </w:p>
    <w:p w:rsidR="007D6CB1" w:rsidRPr="00AE581F" w:rsidRDefault="007D6CB1" w:rsidP="007D6CB1">
      <w:pPr>
        <w:spacing w:line="288" w:lineRule="auto"/>
        <w:jc w:val="both"/>
        <w:rPr>
          <w:color w:val="000000"/>
          <w:lang w:val="da-DK"/>
        </w:rPr>
      </w:pPr>
    </w:p>
    <w:p w:rsidR="007D6CB1" w:rsidRDefault="007D6CB1" w:rsidP="007D6CB1">
      <w:pPr>
        <w:spacing w:line="288" w:lineRule="auto"/>
        <w:jc w:val="both"/>
        <w:rPr>
          <w:color w:val="000000"/>
          <w:lang w:val="da-DK"/>
        </w:rPr>
      </w:pPr>
      <w:r w:rsidRPr="00AE581F">
        <w:rPr>
          <w:color w:val="000000"/>
          <w:lang w:val="da-DK"/>
        </w:rPr>
        <w:t>I forhold til sambeskattede selskaber</w:t>
      </w:r>
      <w:r>
        <w:rPr>
          <w:color w:val="000000"/>
          <w:lang w:val="da-DK"/>
        </w:rPr>
        <w:t xml:space="preserve"> m.v.</w:t>
      </w:r>
      <w:r w:rsidRPr="00AE581F">
        <w:rPr>
          <w:color w:val="000000"/>
          <w:lang w:val="da-DK"/>
        </w:rPr>
        <w:t xml:space="preserve"> </w:t>
      </w:r>
      <w:r w:rsidR="00D2671C">
        <w:rPr>
          <w:color w:val="000000"/>
          <w:lang w:val="da-DK"/>
        </w:rPr>
        <w:t>pålægges</w:t>
      </w:r>
      <w:r w:rsidRPr="00AE581F">
        <w:rPr>
          <w:color w:val="000000"/>
          <w:lang w:val="da-DK"/>
        </w:rPr>
        <w:t xml:space="preserve"> </w:t>
      </w:r>
      <w:r w:rsidR="00F7379F">
        <w:rPr>
          <w:color w:val="000000"/>
          <w:lang w:val="da-DK"/>
        </w:rPr>
        <w:t xml:space="preserve">et </w:t>
      </w:r>
      <w:r w:rsidRPr="00AE581F">
        <w:rPr>
          <w:color w:val="000000"/>
          <w:lang w:val="da-DK"/>
        </w:rPr>
        <w:t>tillæg alene i forhold til administrationsse</w:t>
      </w:r>
      <w:r w:rsidRPr="00AE581F">
        <w:rPr>
          <w:color w:val="000000"/>
          <w:lang w:val="da-DK"/>
        </w:rPr>
        <w:t>l</w:t>
      </w:r>
      <w:r w:rsidRPr="00AE581F">
        <w:rPr>
          <w:color w:val="000000"/>
          <w:lang w:val="da-DK"/>
        </w:rPr>
        <w:t xml:space="preserve">skabets for sene indberetning. </w:t>
      </w:r>
    </w:p>
    <w:p w:rsidR="00F7379F" w:rsidRDefault="00F7379F" w:rsidP="007D6CB1">
      <w:pPr>
        <w:spacing w:line="288" w:lineRule="auto"/>
        <w:jc w:val="both"/>
        <w:rPr>
          <w:color w:val="000000"/>
          <w:lang w:val="da-DK"/>
        </w:rPr>
      </w:pPr>
    </w:p>
    <w:p w:rsidR="00F7379F" w:rsidRPr="00AE581F" w:rsidRDefault="00F7379F" w:rsidP="007D6CB1">
      <w:pPr>
        <w:spacing w:line="288" w:lineRule="auto"/>
        <w:jc w:val="both"/>
        <w:rPr>
          <w:color w:val="000000"/>
          <w:lang w:val="da-DK"/>
        </w:rPr>
      </w:pPr>
      <w:r>
        <w:rPr>
          <w:color w:val="000000"/>
          <w:lang w:val="da-DK"/>
        </w:rPr>
        <w:t>Afgørelse om tillægget træffes, når SKAT kan konstatere, at et selskab har et underskud, som ikke er indberettet rettidigt. SKATs afgørelse om tillæg kan påklages til Landsskatteretten, jf. skattefo</w:t>
      </w:r>
      <w:r>
        <w:rPr>
          <w:color w:val="000000"/>
          <w:lang w:val="da-DK"/>
        </w:rPr>
        <w:t>r</w:t>
      </w:r>
      <w:r>
        <w:rPr>
          <w:color w:val="000000"/>
          <w:lang w:val="da-DK"/>
        </w:rPr>
        <w:t xml:space="preserve">valtningslovens § 35 b, stk. 2.  </w:t>
      </w:r>
    </w:p>
    <w:p w:rsidR="007D6CB1" w:rsidRDefault="007D6CB1" w:rsidP="007D6CB1">
      <w:pPr>
        <w:spacing w:line="288" w:lineRule="auto"/>
        <w:jc w:val="both"/>
        <w:rPr>
          <w:color w:val="000000"/>
          <w:lang w:val="da-DK"/>
        </w:rPr>
      </w:pPr>
    </w:p>
    <w:p w:rsidR="007D6CB1" w:rsidRDefault="007D6CB1" w:rsidP="007D6CB1">
      <w:pPr>
        <w:spacing w:line="288" w:lineRule="auto"/>
        <w:jc w:val="both"/>
        <w:rPr>
          <w:color w:val="000000"/>
          <w:lang w:val="da-DK"/>
        </w:rPr>
      </w:pPr>
      <w:r>
        <w:rPr>
          <w:color w:val="000000"/>
          <w:lang w:val="da-DK"/>
        </w:rPr>
        <w:t xml:space="preserve">Det foreslås endvidere at ændre selskabsskattelovens § 35, stk. 1, således at visse </w:t>
      </w:r>
      <w:r w:rsidR="000A0922">
        <w:rPr>
          <w:color w:val="000000"/>
          <w:lang w:val="da-DK"/>
        </w:rPr>
        <w:t xml:space="preserve">konkrete </w:t>
      </w:r>
      <w:r>
        <w:rPr>
          <w:color w:val="000000"/>
          <w:lang w:val="da-DK"/>
        </w:rPr>
        <w:t>selskab</w:t>
      </w:r>
      <w:r w:rsidR="000A0922">
        <w:rPr>
          <w:color w:val="000000"/>
          <w:lang w:val="da-DK"/>
        </w:rPr>
        <w:t>s</w:t>
      </w:r>
      <w:r w:rsidR="000A0922">
        <w:rPr>
          <w:color w:val="000000"/>
          <w:lang w:val="da-DK"/>
        </w:rPr>
        <w:t>typer</w:t>
      </w:r>
      <w:r>
        <w:rPr>
          <w:color w:val="000000"/>
          <w:lang w:val="da-DK"/>
        </w:rPr>
        <w:t xml:space="preserve"> m.v.</w:t>
      </w:r>
      <w:r w:rsidR="009D0A88">
        <w:rPr>
          <w:color w:val="000000"/>
          <w:lang w:val="da-DK"/>
        </w:rPr>
        <w:t>,</w:t>
      </w:r>
      <w:r w:rsidR="009D0A88" w:rsidRPr="009D0A88">
        <w:rPr>
          <w:color w:val="000000"/>
          <w:lang w:val="da-DK"/>
        </w:rPr>
        <w:t xml:space="preserve"> </w:t>
      </w:r>
      <w:r w:rsidR="009D0A88">
        <w:rPr>
          <w:color w:val="000000"/>
          <w:lang w:val="da-DK"/>
        </w:rPr>
        <w:t>som ikke kan håndteres af underskudsregisteret,</w:t>
      </w:r>
      <w:r>
        <w:rPr>
          <w:color w:val="000000"/>
          <w:lang w:val="da-DK"/>
        </w:rPr>
        <w:t xml:space="preserve"> kan fritages for at engangsregistrere underskud, såfremt skatteministeren fastsætter regler herom, jf. den foreslåede bemyndigelse i se</w:t>
      </w:r>
      <w:r>
        <w:rPr>
          <w:color w:val="000000"/>
          <w:lang w:val="da-DK"/>
        </w:rPr>
        <w:t>l</w:t>
      </w:r>
      <w:r>
        <w:rPr>
          <w:color w:val="000000"/>
          <w:lang w:val="da-DK"/>
        </w:rPr>
        <w:t>skabsskattelovens § 35, stk. 4</w:t>
      </w:r>
      <w:r w:rsidR="00090990">
        <w:rPr>
          <w:color w:val="000000"/>
          <w:lang w:val="da-DK"/>
        </w:rPr>
        <w:t>, jf. lovforslaget § 1, nr. 3</w:t>
      </w:r>
      <w:r>
        <w:rPr>
          <w:color w:val="000000"/>
          <w:lang w:val="da-DK"/>
        </w:rPr>
        <w:t xml:space="preserve">.  </w:t>
      </w:r>
    </w:p>
    <w:p w:rsidR="009D0A88" w:rsidRDefault="009D0A88" w:rsidP="007D6CB1">
      <w:pPr>
        <w:spacing w:line="288" w:lineRule="auto"/>
        <w:jc w:val="both"/>
        <w:rPr>
          <w:color w:val="000000"/>
          <w:lang w:val="da-DK"/>
        </w:rPr>
      </w:pPr>
    </w:p>
    <w:p w:rsidR="007D6CB1" w:rsidRDefault="007D6CB1" w:rsidP="007D6CB1">
      <w:pPr>
        <w:spacing w:line="288" w:lineRule="auto"/>
        <w:jc w:val="both"/>
        <w:rPr>
          <w:color w:val="000000"/>
          <w:lang w:val="da-DK"/>
        </w:rPr>
      </w:pPr>
      <w:r>
        <w:rPr>
          <w:color w:val="000000"/>
          <w:lang w:val="da-DK"/>
        </w:rPr>
        <w:t>Til nr. 2</w:t>
      </w:r>
    </w:p>
    <w:p w:rsidR="007D6CB1" w:rsidRDefault="007D6CB1" w:rsidP="007D6CB1">
      <w:pPr>
        <w:spacing w:line="288" w:lineRule="auto"/>
        <w:jc w:val="both"/>
        <w:rPr>
          <w:color w:val="000000"/>
          <w:lang w:val="da-DK"/>
        </w:rPr>
      </w:pPr>
      <w:r w:rsidRPr="00C90A4C">
        <w:rPr>
          <w:color w:val="000000"/>
          <w:lang w:val="da-DK"/>
        </w:rPr>
        <w:t xml:space="preserve">Det foreslås at ændre selskabsskattelovens § 35, stk. 2, således at visse </w:t>
      </w:r>
      <w:r w:rsidR="000A0922">
        <w:rPr>
          <w:color w:val="000000"/>
          <w:lang w:val="da-DK"/>
        </w:rPr>
        <w:t xml:space="preserve">konkrete </w:t>
      </w:r>
      <w:r w:rsidRPr="00C90A4C">
        <w:rPr>
          <w:color w:val="000000"/>
          <w:lang w:val="da-DK"/>
        </w:rPr>
        <w:t>selskab</w:t>
      </w:r>
      <w:r w:rsidR="000A0922">
        <w:rPr>
          <w:color w:val="000000"/>
          <w:lang w:val="da-DK"/>
        </w:rPr>
        <w:t>styper</w:t>
      </w:r>
      <w:r w:rsidRPr="00C90A4C">
        <w:rPr>
          <w:color w:val="000000"/>
          <w:lang w:val="da-DK"/>
        </w:rPr>
        <w:t xml:space="preserve"> m.v.</w:t>
      </w:r>
      <w:r w:rsidR="009D0A88">
        <w:rPr>
          <w:color w:val="000000"/>
          <w:lang w:val="da-DK"/>
        </w:rPr>
        <w:t>,</w:t>
      </w:r>
      <w:r w:rsidRPr="00C90A4C">
        <w:rPr>
          <w:color w:val="000000"/>
          <w:lang w:val="da-DK"/>
        </w:rPr>
        <w:t xml:space="preserve"> </w:t>
      </w:r>
      <w:r w:rsidR="009D0A88">
        <w:rPr>
          <w:color w:val="000000"/>
          <w:lang w:val="da-DK"/>
        </w:rPr>
        <w:t>som ikke kan håndteres af underskudsregisteret,</w:t>
      </w:r>
      <w:r w:rsidR="009D0A88" w:rsidRPr="00C90A4C">
        <w:rPr>
          <w:color w:val="000000"/>
          <w:lang w:val="da-DK"/>
        </w:rPr>
        <w:t xml:space="preserve"> </w:t>
      </w:r>
      <w:r w:rsidRPr="00C90A4C">
        <w:rPr>
          <w:color w:val="000000"/>
          <w:lang w:val="da-DK"/>
        </w:rPr>
        <w:t>kan fritages for at engangsregistrere gennemførte skattefrie omstruktureringer af betydning for underskudsanvendelsen. Det kan ske ved, at skattem</w:t>
      </w:r>
      <w:r w:rsidRPr="00C90A4C">
        <w:rPr>
          <w:color w:val="000000"/>
          <w:lang w:val="da-DK"/>
        </w:rPr>
        <w:t>i</w:t>
      </w:r>
      <w:r w:rsidRPr="00C90A4C">
        <w:rPr>
          <w:color w:val="000000"/>
          <w:lang w:val="da-DK"/>
        </w:rPr>
        <w:t>nisteren fastsætter regler herom, jf.</w:t>
      </w:r>
      <w:r w:rsidR="00A424D7">
        <w:rPr>
          <w:color w:val="000000"/>
          <w:lang w:val="da-DK"/>
        </w:rPr>
        <w:t xml:space="preserve"> lovforslagets</w:t>
      </w:r>
      <w:r w:rsidRPr="00C90A4C">
        <w:rPr>
          <w:color w:val="000000"/>
          <w:lang w:val="da-DK"/>
        </w:rPr>
        <w:t xml:space="preserve"> </w:t>
      </w:r>
      <w:r w:rsidRPr="0096168A">
        <w:rPr>
          <w:color w:val="000000"/>
          <w:lang w:val="da-DK"/>
        </w:rPr>
        <w:t>§ 1, nr. 3</w:t>
      </w:r>
      <w:r w:rsidR="00A424D7">
        <w:rPr>
          <w:color w:val="000000"/>
          <w:lang w:val="da-DK"/>
        </w:rPr>
        <w:t>.</w:t>
      </w:r>
      <w:r w:rsidRPr="0096168A">
        <w:rPr>
          <w:color w:val="000000"/>
          <w:lang w:val="da-DK"/>
        </w:rPr>
        <w:t xml:space="preserve"> </w:t>
      </w:r>
    </w:p>
    <w:p w:rsidR="009D0A88" w:rsidRDefault="009D0A88" w:rsidP="007D6CB1">
      <w:pPr>
        <w:spacing w:line="288" w:lineRule="auto"/>
        <w:jc w:val="both"/>
        <w:rPr>
          <w:color w:val="000000"/>
          <w:lang w:val="da-DK"/>
        </w:rPr>
      </w:pPr>
    </w:p>
    <w:p w:rsidR="007D6CB1" w:rsidRDefault="007D6CB1" w:rsidP="007D6CB1">
      <w:pPr>
        <w:spacing w:line="288" w:lineRule="auto"/>
        <w:jc w:val="both"/>
        <w:rPr>
          <w:color w:val="000000"/>
          <w:lang w:val="da-DK"/>
        </w:rPr>
      </w:pPr>
      <w:r>
        <w:rPr>
          <w:color w:val="000000"/>
          <w:lang w:val="da-DK"/>
        </w:rPr>
        <w:t>Til nr. 3</w:t>
      </w:r>
    </w:p>
    <w:p w:rsidR="007D6CB1" w:rsidRDefault="007D6CB1" w:rsidP="007D6CB1">
      <w:pPr>
        <w:spacing w:line="288" w:lineRule="auto"/>
        <w:jc w:val="both"/>
        <w:rPr>
          <w:color w:val="000000"/>
          <w:lang w:val="da-DK"/>
        </w:rPr>
      </w:pPr>
      <w:r>
        <w:rPr>
          <w:color w:val="000000"/>
          <w:lang w:val="da-DK"/>
        </w:rPr>
        <w:t xml:space="preserve">Det foreslås, at skatteministeren bemyndiges til at fastsætte regler om at fritage visse </w:t>
      </w:r>
      <w:r w:rsidR="000A0922">
        <w:rPr>
          <w:color w:val="000000"/>
          <w:lang w:val="da-DK"/>
        </w:rPr>
        <w:t xml:space="preserve">konkrete </w:t>
      </w:r>
      <w:r>
        <w:rPr>
          <w:color w:val="000000"/>
          <w:lang w:val="da-DK"/>
        </w:rPr>
        <w:t>se</w:t>
      </w:r>
      <w:r>
        <w:rPr>
          <w:color w:val="000000"/>
          <w:lang w:val="da-DK"/>
        </w:rPr>
        <w:t>l</w:t>
      </w:r>
      <w:r>
        <w:rPr>
          <w:color w:val="000000"/>
          <w:lang w:val="da-DK"/>
        </w:rPr>
        <w:t>skab</w:t>
      </w:r>
      <w:r w:rsidR="000A0922">
        <w:rPr>
          <w:color w:val="000000"/>
          <w:lang w:val="da-DK"/>
        </w:rPr>
        <w:t>styper</w:t>
      </w:r>
      <w:r>
        <w:rPr>
          <w:color w:val="000000"/>
          <w:lang w:val="da-DK"/>
        </w:rPr>
        <w:t xml:space="preserve"> m.v. for pligten til at engangsregistrere underskud og gennemførte skattefri omstruktur</w:t>
      </w:r>
      <w:r>
        <w:rPr>
          <w:color w:val="000000"/>
          <w:lang w:val="da-DK"/>
        </w:rPr>
        <w:t>e</w:t>
      </w:r>
      <w:r>
        <w:rPr>
          <w:color w:val="000000"/>
          <w:lang w:val="da-DK"/>
        </w:rPr>
        <w:t xml:space="preserve">ringer. Bemyndigelsen forventes udnyttet til at fritage </w:t>
      </w:r>
      <w:r w:rsidR="000A0922">
        <w:rPr>
          <w:color w:val="000000"/>
          <w:lang w:val="da-DK"/>
        </w:rPr>
        <w:t xml:space="preserve">konkrete </w:t>
      </w:r>
      <w:r>
        <w:rPr>
          <w:color w:val="000000"/>
          <w:lang w:val="da-DK"/>
        </w:rPr>
        <w:t>selskab</w:t>
      </w:r>
      <w:r w:rsidR="000A0922">
        <w:rPr>
          <w:color w:val="000000"/>
          <w:lang w:val="da-DK"/>
        </w:rPr>
        <w:t>styper</w:t>
      </w:r>
      <w:r>
        <w:rPr>
          <w:color w:val="000000"/>
          <w:lang w:val="da-DK"/>
        </w:rPr>
        <w:t xml:space="preserve"> m.v. for engangsreg</w:t>
      </w:r>
      <w:r>
        <w:rPr>
          <w:color w:val="000000"/>
          <w:lang w:val="da-DK"/>
        </w:rPr>
        <w:t>i</w:t>
      </w:r>
      <w:r>
        <w:rPr>
          <w:color w:val="000000"/>
          <w:lang w:val="da-DK"/>
        </w:rPr>
        <w:t xml:space="preserve">strering, såfremt </w:t>
      </w:r>
      <w:r w:rsidR="000A0922">
        <w:rPr>
          <w:color w:val="000000"/>
          <w:lang w:val="da-DK"/>
        </w:rPr>
        <w:t xml:space="preserve">underskudsregisteret og </w:t>
      </w:r>
      <w:r>
        <w:rPr>
          <w:color w:val="000000"/>
          <w:lang w:val="da-DK"/>
        </w:rPr>
        <w:t xml:space="preserve">underskudsberegningsmodulet ikke vil kunne </w:t>
      </w:r>
      <w:r w:rsidR="000A0922">
        <w:rPr>
          <w:color w:val="000000"/>
          <w:lang w:val="da-DK"/>
        </w:rPr>
        <w:t>håndtere disse digitalt</w:t>
      </w:r>
      <w:r w:rsidR="009D0A88">
        <w:rPr>
          <w:color w:val="000000"/>
          <w:lang w:val="da-DK"/>
        </w:rPr>
        <w:t>.</w:t>
      </w:r>
      <w:r w:rsidR="009D0A88" w:rsidDel="009D0A88">
        <w:rPr>
          <w:color w:val="000000"/>
          <w:lang w:val="da-DK"/>
        </w:rPr>
        <w:t xml:space="preserve"> </w:t>
      </w:r>
    </w:p>
    <w:p w:rsidR="009D0A88" w:rsidRDefault="009D0A88" w:rsidP="007D6CB1">
      <w:pPr>
        <w:spacing w:line="288" w:lineRule="auto"/>
        <w:jc w:val="both"/>
        <w:rPr>
          <w:color w:val="000000"/>
          <w:lang w:val="da-DK"/>
        </w:rPr>
      </w:pPr>
    </w:p>
    <w:p w:rsidR="007D6CB1" w:rsidRPr="00AE581F" w:rsidRDefault="007D6CB1" w:rsidP="007D6CB1">
      <w:pPr>
        <w:spacing w:line="288" w:lineRule="auto"/>
        <w:jc w:val="both"/>
        <w:rPr>
          <w:color w:val="000000"/>
          <w:lang w:val="da-DK"/>
        </w:rPr>
      </w:pPr>
      <w:r>
        <w:rPr>
          <w:color w:val="000000"/>
          <w:lang w:val="da-DK"/>
        </w:rPr>
        <w:t>Det foreslås desuden, at skatteministeren kan fastsætte regler om</w:t>
      </w:r>
      <w:r w:rsidR="00AD4DED">
        <w:rPr>
          <w:color w:val="000000"/>
          <w:lang w:val="da-DK"/>
        </w:rPr>
        <w:t>, at SKAT, hvis der foreligger sæ</w:t>
      </w:r>
      <w:r w:rsidR="00AD4DED">
        <w:rPr>
          <w:color w:val="000000"/>
          <w:lang w:val="da-DK"/>
        </w:rPr>
        <w:t>r</w:t>
      </w:r>
      <w:r w:rsidR="00AD4DED">
        <w:rPr>
          <w:color w:val="000000"/>
          <w:lang w:val="da-DK"/>
        </w:rPr>
        <w:t>lige omstændigheder, kan se bort fra en fristoverskridelse, herunder frafalde tillægget</w:t>
      </w:r>
      <w:r>
        <w:rPr>
          <w:color w:val="000000"/>
          <w:lang w:val="da-DK"/>
        </w:rPr>
        <w:t xml:space="preserve"> på 5.000 kr., jf. den foreslåede ændring til nr. 1, ved manglende rettidig indberetning. Dermed kan SKAT b</w:t>
      </w:r>
      <w:r>
        <w:rPr>
          <w:color w:val="000000"/>
          <w:lang w:val="da-DK"/>
        </w:rPr>
        <w:t>e</w:t>
      </w:r>
      <w:r>
        <w:rPr>
          <w:color w:val="000000"/>
          <w:lang w:val="da-DK"/>
        </w:rPr>
        <w:t>myndiges til at bortse fra tillægget. Der vil kunne bortses fra tillægget, så</w:t>
      </w:r>
      <w:r w:rsidRPr="00AE581F">
        <w:rPr>
          <w:color w:val="000000"/>
          <w:lang w:val="da-DK"/>
        </w:rPr>
        <w:t>fremt SKAT finder, at der i forbindelse med en for sen indberetning foreligger særlige omstændigheder.</w:t>
      </w:r>
      <w:r>
        <w:rPr>
          <w:color w:val="000000"/>
          <w:lang w:val="da-DK"/>
        </w:rPr>
        <w:t xml:space="preserve"> ”</w:t>
      </w:r>
      <w:r w:rsidRPr="00B868DE">
        <w:rPr>
          <w:color w:val="000000"/>
          <w:lang w:val="da-DK"/>
        </w:rPr>
        <w:t>Særlige omstæn</w:t>
      </w:r>
      <w:r>
        <w:rPr>
          <w:color w:val="000000"/>
          <w:lang w:val="da-DK"/>
        </w:rPr>
        <w:t>di</w:t>
      </w:r>
      <w:r>
        <w:rPr>
          <w:color w:val="000000"/>
          <w:lang w:val="da-DK"/>
        </w:rPr>
        <w:t>g</w:t>
      </w:r>
      <w:r>
        <w:rPr>
          <w:color w:val="000000"/>
          <w:lang w:val="da-DK"/>
        </w:rPr>
        <w:lastRenderedPageBreak/>
        <w:t>heder”</w:t>
      </w:r>
      <w:r w:rsidRPr="00B868DE">
        <w:rPr>
          <w:color w:val="000000"/>
          <w:lang w:val="da-DK"/>
        </w:rPr>
        <w:t xml:space="preserve"> kan f.eks. være dokumenteret akut opstået sygdom hos</w:t>
      </w:r>
      <w:r>
        <w:rPr>
          <w:color w:val="000000"/>
          <w:lang w:val="da-DK"/>
        </w:rPr>
        <w:t xml:space="preserve"> </w:t>
      </w:r>
      <w:r w:rsidRPr="00B868DE">
        <w:rPr>
          <w:color w:val="000000"/>
          <w:lang w:val="da-DK"/>
        </w:rPr>
        <w:t>den revisor, som skal forestå indb</w:t>
      </w:r>
      <w:r w:rsidRPr="00B868DE">
        <w:rPr>
          <w:color w:val="000000"/>
          <w:lang w:val="da-DK"/>
        </w:rPr>
        <w:t>e</w:t>
      </w:r>
      <w:r w:rsidRPr="00B868DE">
        <w:rPr>
          <w:color w:val="000000"/>
          <w:lang w:val="da-DK"/>
        </w:rPr>
        <w:t>retningen til SKAT, på et</w:t>
      </w:r>
      <w:r>
        <w:rPr>
          <w:color w:val="000000"/>
          <w:lang w:val="da-DK"/>
        </w:rPr>
        <w:t xml:space="preserve"> </w:t>
      </w:r>
      <w:r w:rsidRPr="00B868DE">
        <w:rPr>
          <w:color w:val="000000"/>
          <w:lang w:val="da-DK"/>
        </w:rPr>
        <w:t>tidspunkt, hvor selskabet m.v. er ude af stand til at finde en</w:t>
      </w:r>
      <w:r>
        <w:rPr>
          <w:color w:val="000000"/>
          <w:lang w:val="da-DK"/>
        </w:rPr>
        <w:t xml:space="preserve"> </w:t>
      </w:r>
      <w:r w:rsidRPr="00B868DE">
        <w:rPr>
          <w:color w:val="000000"/>
          <w:lang w:val="da-DK"/>
        </w:rPr>
        <w:t>anden revisor inden fristens udløb. Et andet eksempel på</w:t>
      </w:r>
      <w:r>
        <w:rPr>
          <w:color w:val="000000"/>
          <w:lang w:val="da-DK"/>
        </w:rPr>
        <w:t xml:space="preserve"> ”særlige omstændigheder” </w:t>
      </w:r>
      <w:r w:rsidRPr="00B868DE">
        <w:rPr>
          <w:color w:val="000000"/>
          <w:lang w:val="da-DK"/>
        </w:rPr>
        <w:t>kan være, at selskabet på grund</w:t>
      </w:r>
      <w:r>
        <w:rPr>
          <w:color w:val="000000"/>
          <w:lang w:val="da-DK"/>
        </w:rPr>
        <w:t xml:space="preserve"> </w:t>
      </w:r>
      <w:r w:rsidRPr="00B868DE">
        <w:rPr>
          <w:color w:val="000000"/>
          <w:lang w:val="da-DK"/>
        </w:rPr>
        <w:t>af pludseligt opståede problemer med - eller nedbrud i -</w:t>
      </w:r>
      <w:r>
        <w:rPr>
          <w:color w:val="000000"/>
          <w:lang w:val="da-DK"/>
        </w:rPr>
        <w:t xml:space="preserve"> </w:t>
      </w:r>
      <w:r w:rsidRPr="00B868DE">
        <w:rPr>
          <w:color w:val="000000"/>
          <w:lang w:val="da-DK"/>
        </w:rPr>
        <w:t>SKATs it-system har været forhi</w:t>
      </w:r>
      <w:r w:rsidRPr="00B868DE">
        <w:rPr>
          <w:color w:val="000000"/>
          <w:lang w:val="da-DK"/>
        </w:rPr>
        <w:t>n</w:t>
      </w:r>
      <w:r w:rsidRPr="00B868DE">
        <w:rPr>
          <w:color w:val="000000"/>
          <w:lang w:val="da-DK"/>
        </w:rPr>
        <w:t>dret i at få indberettet digitalt</w:t>
      </w:r>
      <w:r>
        <w:rPr>
          <w:color w:val="000000"/>
          <w:lang w:val="da-DK"/>
        </w:rPr>
        <w:t xml:space="preserve"> </w:t>
      </w:r>
      <w:r w:rsidRPr="00B868DE">
        <w:rPr>
          <w:color w:val="000000"/>
          <w:lang w:val="da-DK"/>
        </w:rPr>
        <w:t>til underskudsregisteret inden for fristen</w:t>
      </w:r>
      <w:r>
        <w:rPr>
          <w:color w:val="000000"/>
          <w:lang w:val="da-DK"/>
        </w:rPr>
        <w:t>.</w:t>
      </w:r>
    </w:p>
    <w:p w:rsidR="007D6CB1" w:rsidRDefault="007D6CB1" w:rsidP="007D6CB1">
      <w:pPr>
        <w:spacing w:line="288" w:lineRule="auto"/>
        <w:jc w:val="both"/>
        <w:rPr>
          <w:color w:val="000000"/>
          <w:lang w:val="da-DK"/>
        </w:rPr>
      </w:pPr>
    </w:p>
    <w:p w:rsidR="007D6CB1" w:rsidRPr="00A77DC9" w:rsidRDefault="007D6CB1" w:rsidP="007D6CB1">
      <w:pPr>
        <w:spacing w:line="288" w:lineRule="auto"/>
        <w:jc w:val="center"/>
        <w:rPr>
          <w:i/>
          <w:color w:val="000000"/>
          <w:lang w:val="da-DK"/>
        </w:rPr>
      </w:pPr>
      <w:r w:rsidRPr="00A77DC9">
        <w:rPr>
          <w:i/>
          <w:color w:val="000000"/>
          <w:lang w:val="da-DK"/>
        </w:rPr>
        <w:t>Til § 2</w:t>
      </w:r>
    </w:p>
    <w:p w:rsidR="007D6CB1" w:rsidRDefault="007D6CB1" w:rsidP="007D6CB1">
      <w:pPr>
        <w:jc w:val="both"/>
        <w:rPr>
          <w:lang w:val="da-DK"/>
        </w:rPr>
      </w:pPr>
      <w:r>
        <w:rPr>
          <w:lang w:val="da-DK"/>
        </w:rPr>
        <w:t>Til nr. 1</w:t>
      </w:r>
    </w:p>
    <w:p w:rsidR="007D6CB1" w:rsidRPr="00733532" w:rsidRDefault="007D6CB1" w:rsidP="007D6CB1">
      <w:pPr>
        <w:spacing w:line="288" w:lineRule="auto"/>
        <w:jc w:val="both"/>
        <w:rPr>
          <w:iCs/>
          <w:color w:val="000000"/>
          <w:lang w:val="da-DK"/>
        </w:rPr>
      </w:pPr>
      <w:r w:rsidRPr="00733532">
        <w:rPr>
          <w:iCs/>
          <w:color w:val="000000"/>
          <w:lang w:val="da-DK"/>
        </w:rPr>
        <w:t xml:space="preserve">SKAT forventer, at selvangivelsesløsningen for indkomståret 2014 forsinkes </w:t>
      </w:r>
      <w:r w:rsidR="00524E12">
        <w:rPr>
          <w:iCs/>
          <w:color w:val="000000"/>
          <w:lang w:val="da-DK"/>
        </w:rPr>
        <w:t>ca. halvanden</w:t>
      </w:r>
      <w:r w:rsidRPr="00733532">
        <w:rPr>
          <w:iCs/>
          <w:color w:val="000000"/>
          <w:lang w:val="da-DK"/>
        </w:rPr>
        <w:t xml:space="preserve"> måned. Selvangivelsesløsningen forventes således at åbne </w:t>
      </w:r>
      <w:r>
        <w:rPr>
          <w:iCs/>
          <w:color w:val="000000"/>
          <w:lang w:val="da-DK"/>
        </w:rPr>
        <w:t>primo</w:t>
      </w:r>
      <w:r w:rsidRPr="00733532">
        <w:rPr>
          <w:iCs/>
          <w:color w:val="000000"/>
          <w:lang w:val="da-DK"/>
        </w:rPr>
        <w:t xml:space="preserve"> maj 2015 og ikke som tidligere antaget i marts 2015.</w:t>
      </w:r>
    </w:p>
    <w:p w:rsidR="007D6CB1" w:rsidRPr="00733532" w:rsidRDefault="007D6CB1" w:rsidP="007D6CB1">
      <w:pPr>
        <w:spacing w:line="276" w:lineRule="auto"/>
        <w:jc w:val="both"/>
        <w:rPr>
          <w:color w:val="000000"/>
          <w:lang w:val="da-DK"/>
        </w:rPr>
      </w:pPr>
    </w:p>
    <w:p w:rsidR="007D6CB1" w:rsidRPr="00733532" w:rsidRDefault="007D6CB1" w:rsidP="007D6CB1">
      <w:pPr>
        <w:spacing w:line="288" w:lineRule="auto"/>
        <w:jc w:val="both"/>
        <w:rPr>
          <w:iCs/>
          <w:color w:val="000000"/>
          <w:lang w:val="da-DK"/>
        </w:rPr>
      </w:pPr>
      <w:r w:rsidRPr="00733532">
        <w:rPr>
          <w:iCs/>
          <w:color w:val="000000"/>
          <w:lang w:val="da-DK"/>
        </w:rPr>
        <w:t xml:space="preserve">Det foreslås derfor at udskyde selvangivelsesfristen for indkomståret 2014 med </w:t>
      </w:r>
      <w:r w:rsidR="006360E6">
        <w:rPr>
          <w:iCs/>
          <w:color w:val="000000"/>
          <w:lang w:val="da-DK"/>
        </w:rPr>
        <w:t>é</w:t>
      </w:r>
      <w:r w:rsidRPr="00733532">
        <w:rPr>
          <w:iCs/>
          <w:color w:val="000000"/>
          <w:lang w:val="da-DK"/>
        </w:rPr>
        <w:t>n måned fra den 1. august 2015 til den 1. september 2015. Udskydelsen af selvangivelsesfristen skal sikre, at selsk</w:t>
      </w:r>
      <w:r w:rsidRPr="00733532">
        <w:rPr>
          <w:iCs/>
          <w:color w:val="000000"/>
          <w:lang w:val="da-DK"/>
        </w:rPr>
        <w:t>a</w:t>
      </w:r>
      <w:r w:rsidRPr="00733532">
        <w:rPr>
          <w:iCs/>
          <w:color w:val="000000"/>
          <w:lang w:val="da-DK"/>
        </w:rPr>
        <w:t>berne</w:t>
      </w:r>
      <w:r>
        <w:rPr>
          <w:iCs/>
          <w:color w:val="000000"/>
          <w:lang w:val="da-DK"/>
        </w:rPr>
        <w:t xml:space="preserve"> m.v.</w:t>
      </w:r>
      <w:r w:rsidRPr="00733532">
        <w:rPr>
          <w:iCs/>
          <w:color w:val="000000"/>
          <w:lang w:val="da-DK"/>
        </w:rPr>
        <w:t xml:space="preserve"> ikke får</w:t>
      </w:r>
      <w:r w:rsidR="00524E12">
        <w:rPr>
          <w:iCs/>
          <w:color w:val="000000"/>
          <w:lang w:val="da-DK"/>
        </w:rPr>
        <w:t xml:space="preserve"> væsentligt</w:t>
      </w:r>
      <w:r w:rsidRPr="00733532">
        <w:rPr>
          <w:iCs/>
          <w:color w:val="000000"/>
          <w:lang w:val="da-DK"/>
        </w:rPr>
        <w:t xml:space="preserve"> kortere tid</w:t>
      </w:r>
      <w:r>
        <w:rPr>
          <w:iCs/>
          <w:color w:val="000000"/>
          <w:lang w:val="da-DK"/>
        </w:rPr>
        <w:t xml:space="preserve"> til indberetning</w:t>
      </w:r>
      <w:r w:rsidRPr="00733532">
        <w:rPr>
          <w:iCs/>
          <w:color w:val="000000"/>
          <w:lang w:val="da-DK"/>
        </w:rPr>
        <w:t xml:space="preserve"> end forudsat ved gennemførelsen af lov nr. 528 af 28. maj 2014.</w:t>
      </w:r>
    </w:p>
    <w:p w:rsidR="007D6CB1" w:rsidRDefault="007D6CB1" w:rsidP="007D6CB1">
      <w:pPr>
        <w:spacing w:line="288" w:lineRule="auto"/>
        <w:jc w:val="both"/>
        <w:rPr>
          <w:iCs/>
          <w:color w:val="000000"/>
          <w:lang w:val="da-DK"/>
        </w:rPr>
      </w:pPr>
    </w:p>
    <w:p w:rsidR="007D6CB1" w:rsidRPr="00733532" w:rsidRDefault="007D6CB1" w:rsidP="007D6CB1">
      <w:pPr>
        <w:spacing w:line="288" w:lineRule="auto"/>
        <w:jc w:val="both"/>
        <w:rPr>
          <w:iCs/>
          <w:color w:val="000000"/>
          <w:lang w:val="da-DK"/>
        </w:rPr>
      </w:pPr>
      <w:r>
        <w:rPr>
          <w:iCs/>
          <w:color w:val="000000"/>
          <w:lang w:val="da-DK"/>
        </w:rPr>
        <w:t xml:space="preserve">Det foreslås endvidere at udskyde selvangivelsesfristen for indkomståret 2015 til den 1. september 2016. Udskydelsen skal understøtte, at DIAS kan udvikle en løsning med forslag til </w:t>
      </w:r>
      <w:r w:rsidR="0016634D">
        <w:rPr>
          <w:iCs/>
          <w:color w:val="000000"/>
          <w:lang w:val="da-DK"/>
        </w:rPr>
        <w:t>konkret</w:t>
      </w:r>
      <w:r>
        <w:rPr>
          <w:iCs/>
          <w:color w:val="000000"/>
          <w:lang w:val="da-DK"/>
        </w:rPr>
        <w:t xml:space="preserve"> unde</w:t>
      </w:r>
      <w:r>
        <w:rPr>
          <w:iCs/>
          <w:color w:val="000000"/>
          <w:lang w:val="da-DK"/>
        </w:rPr>
        <w:t>r</w:t>
      </w:r>
      <w:r>
        <w:rPr>
          <w:iCs/>
          <w:color w:val="000000"/>
          <w:lang w:val="da-DK"/>
        </w:rPr>
        <w:t>skudsberegning, som - for indkomståret 2015 - omfatter så mange selskaber m.v. som muligt.</w:t>
      </w:r>
    </w:p>
    <w:p w:rsidR="007D6CB1" w:rsidRPr="00733532" w:rsidRDefault="007D6CB1" w:rsidP="007D6CB1">
      <w:pPr>
        <w:spacing w:line="288" w:lineRule="auto"/>
        <w:jc w:val="both"/>
        <w:rPr>
          <w:iCs/>
          <w:color w:val="000000"/>
          <w:lang w:val="da-DK"/>
        </w:rPr>
      </w:pPr>
    </w:p>
    <w:p w:rsidR="007D6CB1" w:rsidRPr="00733532" w:rsidRDefault="007D6CB1" w:rsidP="007D6CB1">
      <w:pPr>
        <w:spacing w:line="288" w:lineRule="auto"/>
        <w:jc w:val="both"/>
        <w:rPr>
          <w:iCs/>
          <w:color w:val="000000"/>
          <w:lang w:val="da-DK"/>
        </w:rPr>
      </w:pPr>
      <w:r w:rsidRPr="00733532">
        <w:rPr>
          <w:iCs/>
          <w:color w:val="000000"/>
          <w:lang w:val="da-DK"/>
        </w:rPr>
        <w:t>Det bemærkes, at de foreslåede udskydelse</w:t>
      </w:r>
      <w:r>
        <w:rPr>
          <w:iCs/>
          <w:color w:val="000000"/>
          <w:lang w:val="da-DK"/>
        </w:rPr>
        <w:t>r</w:t>
      </w:r>
      <w:r w:rsidRPr="00733532">
        <w:rPr>
          <w:iCs/>
          <w:color w:val="000000"/>
          <w:lang w:val="da-DK"/>
        </w:rPr>
        <w:t xml:space="preserve"> af selvangivelsestidspunkte</w:t>
      </w:r>
      <w:r>
        <w:rPr>
          <w:iCs/>
          <w:color w:val="000000"/>
          <w:lang w:val="da-DK"/>
        </w:rPr>
        <w:t>rne</w:t>
      </w:r>
      <w:r w:rsidRPr="00733532">
        <w:rPr>
          <w:iCs/>
          <w:color w:val="000000"/>
          <w:lang w:val="da-DK"/>
        </w:rPr>
        <w:t xml:space="preserve"> gælder alle juridiske personer, </w:t>
      </w:r>
      <w:r w:rsidR="00A619FD">
        <w:rPr>
          <w:iCs/>
          <w:color w:val="000000"/>
          <w:lang w:val="da-DK"/>
        </w:rPr>
        <w:t xml:space="preserve">som </w:t>
      </w:r>
      <w:r w:rsidR="00491F40">
        <w:rPr>
          <w:iCs/>
          <w:color w:val="000000"/>
          <w:lang w:val="da-DK"/>
        </w:rPr>
        <w:t>omfattet af</w:t>
      </w:r>
      <w:r w:rsidR="00A619FD">
        <w:rPr>
          <w:iCs/>
          <w:color w:val="000000"/>
          <w:lang w:val="da-DK"/>
        </w:rPr>
        <w:t xml:space="preserve"> skattekontrollovens § 4, stk. 2, </w:t>
      </w:r>
      <w:r w:rsidRPr="00733532">
        <w:rPr>
          <w:iCs/>
          <w:color w:val="000000"/>
          <w:lang w:val="da-DK"/>
        </w:rPr>
        <w:t>uanset om de har fremførselsberettigede underskud at indberette til SKAT. Det skyldes, at SKAT ikke har et sikkert kendskab til alle de se</w:t>
      </w:r>
      <w:r w:rsidRPr="00733532">
        <w:rPr>
          <w:iCs/>
          <w:color w:val="000000"/>
          <w:lang w:val="da-DK"/>
        </w:rPr>
        <w:t>l</w:t>
      </w:r>
      <w:r w:rsidRPr="00733532">
        <w:rPr>
          <w:iCs/>
          <w:color w:val="000000"/>
          <w:lang w:val="da-DK"/>
        </w:rPr>
        <w:t>skaber</w:t>
      </w:r>
      <w:r>
        <w:rPr>
          <w:iCs/>
          <w:color w:val="000000"/>
          <w:lang w:val="da-DK"/>
        </w:rPr>
        <w:t xml:space="preserve"> m.v.</w:t>
      </w:r>
      <w:r w:rsidRPr="00733532">
        <w:rPr>
          <w:iCs/>
          <w:color w:val="000000"/>
          <w:lang w:val="da-DK"/>
        </w:rPr>
        <w:t>, som har behov for at indberette fremførselsberettigede underskud til SKAT, da selsk</w:t>
      </w:r>
      <w:r w:rsidRPr="00733532">
        <w:rPr>
          <w:iCs/>
          <w:color w:val="000000"/>
          <w:lang w:val="da-DK"/>
        </w:rPr>
        <w:t>a</w:t>
      </w:r>
      <w:r w:rsidRPr="00733532">
        <w:rPr>
          <w:iCs/>
          <w:color w:val="000000"/>
          <w:lang w:val="da-DK"/>
        </w:rPr>
        <w:t>berne</w:t>
      </w:r>
      <w:r>
        <w:rPr>
          <w:iCs/>
          <w:color w:val="000000"/>
          <w:lang w:val="da-DK"/>
        </w:rPr>
        <w:t xml:space="preserve"> m.v.</w:t>
      </w:r>
      <w:r w:rsidRPr="00733532">
        <w:rPr>
          <w:iCs/>
          <w:color w:val="000000"/>
          <w:lang w:val="da-DK"/>
        </w:rPr>
        <w:t xml:space="preserve"> i dag ikke har pligt til at </w:t>
      </w:r>
      <w:r>
        <w:rPr>
          <w:iCs/>
          <w:color w:val="000000"/>
          <w:lang w:val="da-DK"/>
        </w:rPr>
        <w:t>give oplysning herom via</w:t>
      </w:r>
      <w:r w:rsidRPr="00733532">
        <w:rPr>
          <w:iCs/>
          <w:color w:val="000000"/>
          <w:lang w:val="da-DK"/>
        </w:rPr>
        <w:t xml:space="preserve"> felt 85 på selvangivelsen om fremfø</w:t>
      </w:r>
      <w:r w:rsidRPr="00733532">
        <w:rPr>
          <w:iCs/>
          <w:color w:val="000000"/>
          <w:lang w:val="da-DK"/>
        </w:rPr>
        <w:t>r</w:t>
      </w:r>
      <w:r w:rsidRPr="00733532">
        <w:rPr>
          <w:iCs/>
          <w:color w:val="000000"/>
          <w:lang w:val="da-DK"/>
        </w:rPr>
        <w:t xml:space="preserve">selsberettigede underskud. </w:t>
      </w:r>
    </w:p>
    <w:p w:rsidR="007D6CB1" w:rsidRPr="00733532" w:rsidRDefault="007D6CB1" w:rsidP="007D6CB1">
      <w:pPr>
        <w:spacing w:line="288" w:lineRule="auto"/>
        <w:jc w:val="both"/>
        <w:rPr>
          <w:iCs/>
          <w:color w:val="000000"/>
          <w:lang w:val="da-DK"/>
        </w:rPr>
      </w:pPr>
    </w:p>
    <w:p w:rsidR="007D6CB1" w:rsidRDefault="007D6CB1" w:rsidP="007D6CB1">
      <w:pPr>
        <w:spacing w:line="288" w:lineRule="auto"/>
        <w:jc w:val="both"/>
        <w:rPr>
          <w:iCs/>
          <w:color w:val="000000"/>
          <w:lang w:val="da-DK"/>
        </w:rPr>
      </w:pPr>
      <w:r w:rsidRPr="00733532">
        <w:rPr>
          <w:iCs/>
          <w:color w:val="000000"/>
          <w:lang w:val="da-DK"/>
        </w:rPr>
        <w:t>SKAT vil orientere selskaberne m.v. om den seneste frist for afgivelse af selvangivelse for de p</w:t>
      </w:r>
      <w:r w:rsidRPr="00733532">
        <w:rPr>
          <w:iCs/>
          <w:color w:val="000000"/>
          <w:lang w:val="da-DK"/>
        </w:rPr>
        <w:t>å</w:t>
      </w:r>
      <w:r w:rsidRPr="00733532">
        <w:rPr>
          <w:iCs/>
          <w:color w:val="000000"/>
          <w:lang w:val="da-DK"/>
        </w:rPr>
        <w:t>gældende indkomstår. Årsopgørelserne for de pågældende selskaber</w:t>
      </w:r>
      <w:r>
        <w:rPr>
          <w:iCs/>
          <w:color w:val="000000"/>
          <w:lang w:val="da-DK"/>
        </w:rPr>
        <w:t xml:space="preserve"> m.v.</w:t>
      </w:r>
      <w:r w:rsidRPr="00733532">
        <w:rPr>
          <w:iCs/>
          <w:color w:val="000000"/>
          <w:lang w:val="da-DK"/>
        </w:rPr>
        <w:t xml:space="preserve"> </w:t>
      </w:r>
      <w:r w:rsidR="00477EED">
        <w:rPr>
          <w:iCs/>
          <w:color w:val="000000"/>
          <w:lang w:val="da-DK"/>
        </w:rPr>
        <w:t>forventes</w:t>
      </w:r>
      <w:r w:rsidRPr="00733532">
        <w:rPr>
          <w:iCs/>
          <w:color w:val="000000"/>
          <w:lang w:val="da-DK"/>
        </w:rPr>
        <w:t xml:space="preserve"> dannet ultimo oktober i kalenderåret efter indkomståret og ved forskudt indkomstår i kalenderåret efter det kale</w:t>
      </w:r>
      <w:r w:rsidRPr="00733532">
        <w:rPr>
          <w:iCs/>
          <w:color w:val="000000"/>
          <w:lang w:val="da-DK"/>
        </w:rPr>
        <w:t>n</w:t>
      </w:r>
      <w:r w:rsidRPr="00733532">
        <w:rPr>
          <w:iCs/>
          <w:color w:val="000000"/>
          <w:lang w:val="da-DK"/>
        </w:rPr>
        <w:t>derår, som det forskudte indkomstår træder i stedet for.</w:t>
      </w:r>
    </w:p>
    <w:p w:rsidR="006A6912" w:rsidRDefault="006A6912" w:rsidP="007D6CB1">
      <w:pPr>
        <w:spacing w:line="288" w:lineRule="auto"/>
        <w:jc w:val="both"/>
        <w:rPr>
          <w:iCs/>
          <w:color w:val="000000"/>
          <w:lang w:val="da-DK"/>
        </w:rPr>
      </w:pPr>
    </w:p>
    <w:p w:rsidR="007D6CB1" w:rsidRPr="009F1907" w:rsidRDefault="007D6CB1" w:rsidP="007D6CB1">
      <w:pPr>
        <w:spacing w:line="288" w:lineRule="auto"/>
        <w:jc w:val="both"/>
        <w:rPr>
          <w:color w:val="000000"/>
          <w:lang w:val="da-DK"/>
        </w:rPr>
      </w:pPr>
    </w:p>
    <w:p w:rsidR="007D6CB1" w:rsidRPr="009F1907" w:rsidRDefault="007D6CB1" w:rsidP="007D6CB1">
      <w:pPr>
        <w:spacing w:line="288" w:lineRule="auto"/>
        <w:jc w:val="center"/>
        <w:rPr>
          <w:i/>
          <w:iCs/>
          <w:color w:val="000000"/>
          <w:lang w:val="da-DK"/>
        </w:rPr>
      </w:pPr>
      <w:r w:rsidRPr="009F1907">
        <w:rPr>
          <w:i/>
          <w:iCs/>
          <w:color w:val="000000"/>
          <w:lang w:val="da-DK"/>
        </w:rPr>
        <w:t xml:space="preserve">Til § </w:t>
      </w:r>
      <w:r>
        <w:rPr>
          <w:i/>
          <w:iCs/>
          <w:color w:val="000000"/>
          <w:lang w:val="da-DK"/>
        </w:rPr>
        <w:t>3</w:t>
      </w:r>
    </w:p>
    <w:p w:rsidR="007D6CB1" w:rsidRPr="00733532" w:rsidRDefault="007D6CB1" w:rsidP="007D6CB1">
      <w:pPr>
        <w:spacing w:line="288" w:lineRule="auto"/>
        <w:jc w:val="both"/>
        <w:rPr>
          <w:iCs/>
          <w:color w:val="000000"/>
          <w:lang w:val="da-DK"/>
        </w:rPr>
      </w:pPr>
    </w:p>
    <w:p w:rsidR="007D6CB1" w:rsidRPr="004B444F" w:rsidRDefault="007D6CB1" w:rsidP="007D6CB1">
      <w:pPr>
        <w:spacing w:line="288" w:lineRule="auto"/>
        <w:jc w:val="both"/>
        <w:rPr>
          <w:iCs/>
          <w:color w:val="000000"/>
          <w:lang w:val="da-DK"/>
        </w:rPr>
      </w:pPr>
      <w:r w:rsidRPr="00B43094">
        <w:rPr>
          <w:iCs/>
          <w:color w:val="000000"/>
          <w:lang w:val="da-DK"/>
        </w:rPr>
        <w:t xml:space="preserve">Det foreslås, at loven træder i kraft den 1. juli 2015. </w:t>
      </w:r>
    </w:p>
    <w:p w:rsidR="007D6CB1" w:rsidRPr="00601778" w:rsidRDefault="007D6CB1" w:rsidP="007D6CB1">
      <w:pPr>
        <w:ind w:right="1"/>
        <w:rPr>
          <w:lang w:val="da-DK"/>
        </w:rPr>
      </w:pPr>
      <w:r>
        <w:rPr>
          <w:lang w:val="da-DK"/>
        </w:rPr>
        <w:br w:type="page"/>
      </w:r>
    </w:p>
    <w:p w:rsidR="007D6CB1" w:rsidRPr="00601778" w:rsidRDefault="007D6CB1" w:rsidP="007D6CB1">
      <w:pPr>
        <w:ind w:right="1"/>
        <w:rPr>
          <w:b/>
          <w:lang w:val="da-DK"/>
        </w:rPr>
      </w:pP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b/>
          <w:lang w:val="da-DK"/>
        </w:rPr>
        <w:t xml:space="preserve">Bilag </w:t>
      </w:r>
      <w:r>
        <w:rPr>
          <w:b/>
          <w:lang w:val="da-DK"/>
        </w:rPr>
        <w:t>1</w:t>
      </w:r>
    </w:p>
    <w:p w:rsidR="007D6CB1" w:rsidRPr="00601778" w:rsidRDefault="007D6CB1" w:rsidP="007D6CB1">
      <w:pPr>
        <w:ind w:left="720" w:firstLine="720"/>
        <w:rPr>
          <w:b/>
          <w:bCs/>
          <w:lang w:val="da-DK"/>
        </w:rPr>
      </w:pPr>
    </w:p>
    <w:p w:rsidR="007D6CB1" w:rsidRPr="00601778" w:rsidRDefault="007D6CB1" w:rsidP="007D6CB1">
      <w:pPr>
        <w:ind w:left="1440" w:firstLine="720"/>
        <w:rPr>
          <w:b/>
          <w:bCs/>
          <w:lang w:val="da-DK"/>
        </w:rPr>
      </w:pPr>
      <w:r w:rsidRPr="00601778">
        <w:rPr>
          <w:b/>
          <w:bCs/>
          <w:lang w:val="da-DK"/>
        </w:rPr>
        <w:t>Lovforslaget sammenholdt med gældende lov</w:t>
      </w:r>
    </w:p>
    <w:tbl>
      <w:tblPr>
        <w:tblW w:w="0" w:type="auto"/>
        <w:tblLook w:val="0000" w:firstRow="0" w:lastRow="0" w:firstColumn="0" w:lastColumn="0" w:noHBand="0" w:noVBand="0"/>
      </w:tblPr>
      <w:tblGrid>
        <w:gridCol w:w="3984"/>
        <w:gridCol w:w="3985"/>
      </w:tblGrid>
      <w:tr w:rsidR="007D6CB1" w:rsidRPr="00E3656E" w:rsidTr="00EC1625">
        <w:tc>
          <w:tcPr>
            <w:tcW w:w="3984" w:type="dxa"/>
          </w:tcPr>
          <w:p w:rsidR="007D6CB1" w:rsidRPr="00601778" w:rsidRDefault="007D6CB1" w:rsidP="00EC1625">
            <w:pPr>
              <w:rPr>
                <w:b/>
                <w:bCs/>
                <w:lang w:val="da-DK"/>
              </w:rPr>
            </w:pPr>
          </w:p>
          <w:p w:rsidR="007D6CB1" w:rsidRPr="00601778" w:rsidRDefault="007D6CB1" w:rsidP="00EC1625">
            <w:pPr>
              <w:rPr>
                <w:b/>
                <w:bCs/>
                <w:lang w:val="da-DK"/>
              </w:rPr>
            </w:pPr>
          </w:p>
          <w:p w:rsidR="007D6CB1" w:rsidRPr="0074598E" w:rsidRDefault="007D6CB1" w:rsidP="00EC1625">
            <w:pPr>
              <w:rPr>
                <w:bCs/>
                <w:i/>
                <w:lang w:val="da-DK"/>
              </w:rPr>
            </w:pPr>
            <w:r w:rsidRPr="0074598E">
              <w:rPr>
                <w:bCs/>
                <w:i/>
                <w:lang w:val="da-DK"/>
              </w:rPr>
              <w:t>Gældende formulering</w:t>
            </w:r>
          </w:p>
          <w:p w:rsidR="007D6CB1" w:rsidRPr="0074598E" w:rsidRDefault="007D6CB1" w:rsidP="00EC1625">
            <w:pPr>
              <w:rPr>
                <w:bCs/>
                <w:i/>
                <w:lang w:val="da-DK"/>
              </w:rPr>
            </w:pPr>
          </w:p>
          <w:p w:rsidR="007D6CB1" w:rsidRDefault="007D6CB1" w:rsidP="00EC1625">
            <w:pPr>
              <w:rPr>
                <w:bCs/>
                <w:lang w:val="da-DK"/>
              </w:rPr>
            </w:pPr>
          </w:p>
          <w:p w:rsidR="007D6CB1" w:rsidRPr="00A77DC9" w:rsidRDefault="007D6CB1" w:rsidP="00EC1625">
            <w:pPr>
              <w:rPr>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Default="007D6CB1" w:rsidP="00EC1625">
            <w:pPr>
              <w:rPr>
                <w:b/>
                <w:bCs/>
                <w:lang w:val="da-DK"/>
              </w:rPr>
            </w:pPr>
          </w:p>
          <w:p w:rsidR="007D6CB1" w:rsidRPr="00C90A4C" w:rsidRDefault="007D6CB1" w:rsidP="00EC1625">
            <w:pPr>
              <w:rPr>
                <w:lang w:val="da-DK" w:eastAsia="da-DK"/>
              </w:rPr>
            </w:pPr>
            <w:r w:rsidRPr="00C90A4C">
              <w:rPr>
                <w:lang w:val="da-DK" w:eastAsia="da-DK"/>
              </w:rPr>
              <w:t>§ 35. Skattepligtige selskaber m.v. skal for hvert af indkomstårene 2002 til og med det seneste indkomstår, der ud-</w:t>
            </w:r>
          </w:p>
          <w:p w:rsidR="007D6CB1" w:rsidRPr="00C90A4C" w:rsidRDefault="007D6CB1" w:rsidP="00EC1625">
            <w:pPr>
              <w:rPr>
                <w:lang w:val="da-DK" w:eastAsia="da-DK"/>
              </w:rPr>
            </w:pPr>
            <w:r w:rsidRPr="00C90A4C">
              <w:rPr>
                <w:lang w:val="da-DK" w:eastAsia="da-DK"/>
              </w:rPr>
              <w:t>løber inden indberetningstidspunktet, foretage digital indberetning til told- og skatteforvaltningen af resterende fremførselsberettigede underskud, jf. § 12 og fondsbeskatningslovens § 3, stk. 2. For sambeskattede selskaber påhv</w:t>
            </w:r>
            <w:r w:rsidRPr="00C90A4C">
              <w:rPr>
                <w:lang w:val="da-DK" w:eastAsia="da-DK"/>
              </w:rPr>
              <w:t>i</w:t>
            </w:r>
            <w:r w:rsidRPr="00C90A4C">
              <w:rPr>
                <w:lang w:val="da-DK" w:eastAsia="da-DK"/>
              </w:rPr>
              <w:t>ler indberetningspligten administrat</w:t>
            </w:r>
            <w:r w:rsidRPr="00C90A4C">
              <w:rPr>
                <w:lang w:val="da-DK" w:eastAsia="da-DK"/>
              </w:rPr>
              <w:t>i</w:t>
            </w:r>
            <w:r w:rsidRPr="00C90A4C">
              <w:rPr>
                <w:lang w:val="da-DK" w:eastAsia="da-DK"/>
              </w:rPr>
              <w:t>onsselskabet. Fremførselsberettigede</w:t>
            </w:r>
          </w:p>
          <w:p w:rsidR="007D6CB1" w:rsidRPr="00C90A4C" w:rsidRDefault="007D6CB1" w:rsidP="00EC1625">
            <w:pPr>
              <w:rPr>
                <w:lang w:val="da-DK" w:eastAsia="da-DK"/>
              </w:rPr>
            </w:pPr>
            <w:r w:rsidRPr="00C90A4C">
              <w:rPr>
                <w:lang w:val="da-DK" w:eastAsia="da-DK"/>
              </w:rPr>
              <w:t>underskud, der ikke indberettes efter 1. pkt., fortabes og kan uanset beste</w:t>
            </w:r>
            <w:r w:rsidRPr="00C90A4C">
              <w:rPr>
                <w:lang w:val="da-DK" w:eastAsia="da-DK"/>
              </w:rPr>
              <w:t>m</w:t>
            </w:r>
            <w:r w:rsidRPr="00C90A4C">
              <w:rPr>
                <w:lang w:val="da-DK" w:eastAsia="da-DK"/>
              </w:rPr>
              <w:t>melserne i § 12 og fondsbeskatning</w:t>
            </w:r>
            <w:r w:rsidRPr="00C90A4C">
              <w:rPr>
                <w:lang w:val="da-DK" w:eastAsia="da-DK"/>
              </w:rPr>
              <w:t>s</w:t>
            </w:r>
            <w:r w:rsidRPr="00C90A4C">
              <w:rPr>
                <w:lang w:val="da-DK" w:eastAsia="da-DK"/>
              </w:rPr>
              <w:t>lovens § 3, stk. 2, ikke fradrages i den skattepligtige indkomst.</w:t>
            </w:r>
          </w:p>
          <w:p w:rsidR="007D6CB1" w:rsidRPr="00C90A4C" w:rsidRDefault="007D6CB1" w:rsidP="00EC1625">
            <w:pPr>
              <w:rPr>
                <w:lang w:val="da-DK" w:eastAsia="da-DK"/>
              </w:rPr>
            </w:pPr>
            <w:r w:rsidRPr="00C90A4C">
              <w:rPr>
                <w:lang w:val="da-DK" w:eastAsia="da-DK"/>
              </w:rPr>
              <w:t>Stk. 2. Skattefri omstruktureringer omfattet af fusionsskatteloven, der har betydning for underskudsanvendelsen efter stk. 1, og som er gennemført i</w:t>
            </w:r>
            <w:r w:rsidRPr="00C90A4C">
              <w:rPr>
                <w:lang w:val="da-DK" w:eastAsia="da-DK"/>
              </w:rPr>
              <w:t>n</w:t>
            </w:r>
            <w:r w:rsidRPr="00C90A4C">
              <w:rPr>
                <w:lang w:val="da-DK" w:eastAsia="da-DK"/>
              </w:rPr>
              <w:t>den indberetningstidspunktet, skal tillige indberettes digitalt.</w:t>
            </w:r>
          </w:p>
          <w:p w:rsidR="007D6CB1" w:rsidRPr="00C90A4C" w:rsidRDefault="007D6CB1" w:rsidP="00EC1625">
            <w:pPr>
              <w:rPr>
                <w:lang w:val="da-DK" w:eastAsia="da-DK"/>
              </w:rPr>
            </w:pPr>
            <w:r w:rsidRPr="00C90A4C">
              <w:rPr>
                <w:lang w:val="da-DK" w:eastAsia="da-DK"/>
              </w:rPr>
              <w:t>Stk. 3. Er periodiseringen af unde</w:t>
            </w:r>
            <w:r w:rsidRPr="00C90A4C">
              <w:rPr>
                <w:lang w:val="da-DK" w:eastAsia="da-DK"/>
              </w:rPr>
              <w:t>r</w:t>
            </w:r>
            <w:r w:rsidRPr="00C90A4C">
              <w:rPr>
                <w:lang w:val="da-DK" w:eastAsia="da-DK"/>
              </w:rPr>
              <w:t>skuddene uden betydning for unde</w:t>
            </w:r>
            <w:r w:rsidRPr="00C90A4C">
              <w:rPr>
                <w:lang w:val="da-DK" w:eastAsia="da-DK"/>
              </w:rPr>
              <w:t>r</w:t>
            </w:r>
            <w:r w:rsidRPr="00C90A4C">
              <w:rPr>
                <w:lang w:val="da-DK" w:eastAsia="da-DK"/>
              </w:rPr>
              <w:t>skudsanvendelsen, kan skatteminist</w:t>
            </w:r>
            <w:r w:rsidRPr="00C90A4C">
              <w:rPr>
                <w:lang w:val="da-DK" w:eastAsia="da-DK"/>
              </w:rPr>
              <w:t>e</w:t>
            </w:r>
            <w:r w:rsidRPr="00C90A4C">
              <w:rPr>
                <w:lang w:val="da-DK" w:eastAsia="da-DK"/>
              </w:rPr>
              <w:t>ren dispensere fra pligten til at indb</w:t>
            </w:r>
            <w:r w:rsidRPr="00C90A4C">
              <w:rPr>
                <w:lang w:val="da-DK" w:eastAsia="da-DK"/>
              </w:rPr>
              <w:t>e</w:t>
            </w:r>
            <w:r w:rsidRPr="00C90A4C">
              <w:rPr>
                <w:lang w:val="da-DK" w:eastAsia="da-DK"/>
              </w:rPr>
              <w:t>rette underskud for hvert af indkoms</w:t>
            </w:r>
            <w:r w:rsidRPr="00C90A4C">
              <w:rPr>
                <w:lang w:val="da-DK" w:eastAsia="da-DK"/>
              </w:rPr>
              <w:t>t</w:t>
            </w:r>
            <w:r w:rsidRPr="00C90A4C">
              <w:rPr>
                <w:lang w:val="da-DK" w:eastAsia="da-DK"/>
              </w:rPr>
              <w:t>årene 2002 til og med det seneste in</w:t>
            </w:r>
            <w:r w:rsidRPr="00C90A4C">
              <w:rPr>
                <w:lang w:val="da-DK" w:eastAsia="da-DK"/>
              </w:rPr>
              <w:t>d</w:t>
            </w:r>
            <w:r w:rsidRPr="00C90A4C">
              <w:rPr>
                <w:lang w:val="da-DK" w:eastAsia="da-DK"/>
              </w:rPr>
              <w:lastRenderedPageBreak/>
              <w:t>komstår, der udløber inden indbere</w:t>
            </w:r>
            <w:r w:rsidRPr="00C90A4C">
              <w:rPr>
                <w:lang w:val="da-DK" w:eastAsia="da-DK"/>
              </w:rPr>
              <w:t>t</w:t>
            </w:r>
            <w:r w:rsidRPr="00C90A4C">
              <w:rPr>
                <w:lang w:val="da-DK" w:eastAsia="da-DK"/>
              </w:rPr>
              <w:t>ningstidspunktet.</w:t>
            </w:r>
          </w:p>
          <w:p w:rsidR="007D6CB1" w:rsidRPr="00C90A4C" w:rsidRDefault="007D6CB1" w:rsidP="00EC1625">
            <w:pPr>
              <w:rPr>
                <w:lang w:val="da-DK" w:eastAsia="da-DK"/>
              </w:rPr>
            </w:pPr>
            <w:r w:rsidRPr="00C90A4C">
              <w:rPr>
                <w:lang w:val="da-DK" w:eastAsia="da-DK"/>
              </w:rPr>
              <w:t>Stk. 4. Skatteministeren fastsætter re</w:t>
            </w:r>
            <w:r w:rsidRPr="00C90A4C">
              <w:rPr>
                <w:lang w:val="da-DK" w:eastAsia="da-DK"/>
              </w:rPr>
              <w:t>g</w:t>
            </w:r>
            <w:r w:rsidRPr="00C90A4C">
              <w:rPr>
                <w:lang w:val="da-DK" w:eastAsia="da-DK"/>
              </w:rPr>
              <w:t>ler om indberetningstidspunktet, a</w:t>
            </w:r>
            <w:r w:rsidRPr="00C90A4C">
              <w:rPr>
                <w:lang w:val="da-DK" w:eastAsia="da-DK"/>
              </w:rPr>
              <w:t>d</w:t>
            </w:r>
            <w:r w:rsidRPr="00C90A4C">
              <w:rPr>
                <w:lang w:val="da-DK" w:eastAsia="da-DK"/>
              </w:rPr>
              <w:t>gangen for told- og skatteforvaltningen til, hvis der foreligger særlige o</w:t>
            </w:r>
            <w:r w:rsidRPr="00C90A4C">
              <w:rPr>
                <w:lang w:val="da-DK" w:eastAsia="da-DK"/>
              </w:rPr>
              <w:t>m</w:t>
            </w:r>
            <w:r w:rsidRPr="00C90A4C">
              <w:rPr>
                <w:lang w:val="da-DK" w:eastAsia="da-DK"/>
              </w:rPr>
              <w:t>stændigheder, at se bort fra en fris</w:t>
            </w:r>
            <w:r w:rsidRPr="00C90A4C">
              <w:rPr>
                <w:lang w:val="da-DK" w:eastAsia="da-DK"/>
              </w:rPr>
              <w:t>t</w:t>
            </w:r>
            <w:r w:rsidRPr="00C90A4C">
              <w:rPr>
                <w:lang w:val="da-DK" w:eastAsia="da-DK"/>
              </w:rPr>
              <w:t>overskridelse, perioden for indbere</w:t>
            </w:r>
            <w:r w:rsidRPr="00C90A4C">
              <w:rPr>
                <w:lang w:val="da-DK" w:eastAsia="da-DK"/>
              </w:rPr>
              <w:t>t</w:t>
            </w:r>
            <w:r w:rsidRPr="00C90A4C">
              <w:rPr>
                <w:lang w:val="da-DK" w:eastAsia="da-DK"/>
              </w:rPr>
              <w:t>ningen, hvilke specifikationer indb</w:t>
            </w:r>
            <w:r w:rsidRPr="00C90A4C">
              <w:rPr>
                <w:lang w:val="da-DK" w:eastAsia="da-DK"/>
              </w:rPr>
              <w:t>e</w:t>
            </w:r>
            <w:r w:rsidRPr="00C90A4C">
              <w:rPr>
                <w:lang w:val="da-DK" w:eastAsia="da-DK"/>
              </w:rPr>
              <w:t>retningen skal indeholde, og hvorledes</w:t>
            </w:r>
            <w:r>
              <w:rPr>
                <w:lang w:val="da-DK" w:eastAsia="da-DK"/>
              </w:rPr>
              <w:t xml:space="preserve"> </w:t>
            </w:r>
            <w:r w:rsidRPr="00C90A4C">
              <w:rPr>
                <w:lang w:val="da-DK" w:eastAsia="da-DK"/>
              </w:rPr>
              <w:t>indberetningen skal ske efter stk. 1</w:t>
            </w:r>
            <w:r>
              <w:rPr>
                <w:lang w:val="da-DK" w:eastAsia="da-DK"/>
              </w:rPr>
              <w:t xml:space="preserve"> </w:t>
            </w:r>
            <w:r w:rsidRPr="00C90A4C">
              <w:rPr>
                <w:lang w:val="da-DK" w:eastAsia="da-DK"/>
              </w:rPr>
              <w:t>og  2.</w:t>
            </w: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p>
          <w:p w:rsidR="007D6CB1" w:rsidRPr="00C90A4C" w:rsidRDefault="007D6CB1" w:rsidP="00EC1625">
            <w:pPr>
              <w:rPr>
                <w:lang w:val="da-DK" w:eastAsia="da-DK"/>
              </w:rPr>
            </w:pPr>
            <w:r w:rsidRPr="00C90A4C">
              <w:rPr>
                <w:lang w:val="da-DK" w:eastAsia="da-DK"/>
              </w:rPr>
              <w:t xml:space="preserve">                     § 4</w:t>
            </w:r>
          </w:p>
          <w:p w:rsidR="007D6CB1" w:rsidRPr="00C90A4C" w:rsidRDefault="007D6CB1" w:rsidP="00EC1625">
            <w:pPr>
              <w:rPr>
                <w:lang w:val="da-DK" w:eastAsia="da-DK"/>
              </w:rPr>
            </w:pPr>
          </w:p>
          <w:p w:rsidR="007D6CB1" w:rsidRPr="00C90A4C" w:rsidRDefault="007D6CB1" w:rsidP="00EC1625">
            <w:pPr>
              <w:rPr>
                <w:lang w:val="da-DK" w:eastAsia="da-DK"/>
              </w:rPr>
            </w:pPr>
            <w:r w:rsidRPr="00C90A4C">
              <w:rPr>
                <w:lang w:val="da-DK" w:eastAsia="da-DK"/>
              </w:rPr>
              <w:t>Stk. 1. Loven træder i kraft den 1. juni 2014.</w:t>
            </w:r>
          </w:p>
          <w:p w:rsidR="007D6CB1" w:rsidRPr="00C90A4C" w:rsidRDefault="007D6CB1" w:rsidP="00EC1625">
            <w:pPr>
              <w:rPr>
                <w:lang w:val="da-DK" w:eastAsia="da-DK"/>
              </w:rPr>
            </w:pPr>
            <w:r w:rsidRPr="00C90A4C">
              <w:rPr>
                <w:lang w:val="da-DK" w:eastAsia="da-DK"/>
              </w:rPr>
              <w:t>Stk. 2. …</w:t>
            </w:r>
          </w:p>
          <w:p w:rsidR="007D6CB1" w:rsidRPr="00C90A4C" w:rsidRDefault="007D6CB1" w:rsidP="00EC1625">
            <w:pPr>
              <w:rPr>
                <w:lang w:val="da-DK" w:eastAsia="da-DK"/>
              </w:rPr>
            </w:pPr>
            <w:r w:rsidRPr="00C90A4C">
              <w:rPr>
                <w:lang w:val="da-DK" w:eastAsia="da-DK"/>
              </w:rPr>
              <w:t>Stk. 3….</w:t>
            </w:r>
          </w:p>
          <w:p w:rsidR="007D6CB1" w:rsidRPr="00C90A4C" w:rsidRDefault="007D6CB1" w:rsidP="00EC1625">
            <w:pPr>
              <w:rPr>
                <w:lang w:val="da-DK" w:eastAsia="da-DK"/>
              </w:rPr>
            </w:pPr>
            <w:r w:rsidRPr="00C90A4C">
              <w:rPr>
                <w:lang w:val="da-DK" w:eastAsia="da-DK"/>
              </w:rPr>
              <w:t>Stk. 5. Juridiske personer, som efter skattekontrollovens § 4, stk. 2, skal indgive selvangivelse i perioden fra den 1. oktober til den 31. juli efter indkomstårets udløb, kan, hvis</w:t>
            </w:r>
          </w:p>
          <w:p w:rsidR="007D6CB1" w:rsidRPr="00C90A4C" w:rsidRDefault="007D6CB1" w:rsidP="00EC1625">
            <w:pPr>
              <w:rPr>
                <w:lang w:val="da-DK" w:eastAsia="da-DK"/>
              </w:rPr>
            </w:pPr>
            <w:r w:rsidRPr="00C90A4C">
              <w:rPr>
                <w:lang w:val="da-DK" w:eastAsia="da-DK"/>
              </w:rPr>
              <w:t>selvangivelsesfristen for indkomståret udløber i den periode, hvor indbere</w:t>
            </w:r>
            <w:r w:rsidRPr="00C90A4C">
              <w:rPr>
                <w:lang w:val="da-DK" w:eastAsia="da-DK"/>
              </w:rPr>
              <w:t>t</w:t>
            </w:r>
            <w:r w:rsidRPr="00C90A4C">
              <w:rPr>
                <w:lang w:val="da-DK" w:eastAsia="da-DK"/>
              </w:rPr>
              <w:t>ningen af fremførselsberettigede u</w:t>
            </w:r>
            <w:r w:rsidRPr="00C90A4C">
              <w:rPr>
                <w:lang w:val="da-DK" w:eastAsia="da-DK"/>
              </w:rPr>
              <w:t>n</w:t>
            </w:r>
            <w:r w:rsidRPr="00C90A4C">
              <w:rPr>
                <w:lang w:val="da-DK" w:eastAsia="da-DK"/>
              </w:rPr>
              <w:t>derskud finder sted, vente med at in</w:t>
            </w:r>
            <w:r w:rsidRPr="00C90A4C">
              <w:rPr>
                <w:lang w:val="da-DK" w:eastAsia="da-DK"/>
              </w:rPr>
              <w:t>d</w:t>
            </w:r>
            <w:r w:rsidRPr="00C90A4C">
              <w:rPr>
                <w:lang w:val="da-DK" w:eastAsia="da-DK"/>
              </w:rPr>
              <w:t>give selvangivelse for indkomståret</w:t>
            </w:r>
          </w:p>
          <w:p w:rsidR="007D6CB1" w:rsidRPr="00AE4685" w:rsidRDefault="007D6CB1" w:rsidP="00EC1625">
            <w:pPr>
              <w:rPr>
                <w:b/>
                <w:bCs/>
                <w:lang w:val="da-DK"/>
              </w:rPr>
            </w:pPr>
            <w:r w:rsidRPr="00C90A4C">
              <w:rPr>
                <w:lang w:val="da-DK" w:eastAsia="da-DK"/>
              </w:rPr>
              <w:t>til den 1. august i året efter indkoms</w:t>
            </w:r>
            <w:r w:rsidRPr="00C90A4C">
              <w:rPr>
                <w:lang w:val="da-DK" w:eastAsia="da-DK"/>
              </w:rPr>
              <w:t>t</w:t>
            </w:r>
            <w:r w:rsidRPr="00C90A4C">
              <w:rPr>
                <w:lang w:val="da-DK" w:eastAsia="da-DK"/>
              </w:rPr>
              <w:t>årets udløb.</w:t>
            </w:r>
          </w:p>
        </w:tc>
        <w:tc>
          <w:tcPr>
            <w:tcW w:w="3985" w:type="dxa"/>
          </w:tcPr>
          <w:p w:rsidR="007D6CB1" w:rsidRPr="00AE4685" w:rsidRDefault="007D6CB1" w:rsidP="006B379C">
            <w:pPr>
              <w:rPr>
                <w:b/>
                <w:bCs/>
                <w:lang w:val="da-DK"/>
              </w:rPr>
            </w:pPr>
          </w:p>
          <w:p w:rsidR="007D6CB1" w:rsidRPr="00AE4685" w:rsidRDefault="007D6CB1" w:rsidP="00CB7CE9">
            <w:pPr>
              <w:rPr>
                <w:b/>
                <w:bCs/>
                <w:lang w:val="da-DK"/>
              </w:rPr>
            </w:pPr>
            <w:r w:rsidRPr="00AE4685">
              <w:rPr>
                <w:b/>
                <w:bCs/>
                <w:lang w:val="da-DK"/>
              </w:rPr>
              <w:t xml:space="preserve"> </w:t>
            </w:r>
          </w:p>
          <w:p w:rsidR="007D6CB1" w:rsidRPr="004A3137" w:rsidRDefault="007D6CB1">
            <w:pPr>
              <w:rPr>
                <w:bCs/>
                <w:i/>
                <w:lang w:val="da-DK"/>
              </w:rPr>
            </w:pPr>
            <w:r w:rsidRPr="004A3137">
              <w:rPr>
                <w:bCs/>
                <w:i/>
                <w:lang w:val="da-DK"/>
              </w:rPr>
              <w:t>Lovforslaget</w:t>
            </w:r>
          </w:p>
          <w:p w:rsidR="007D6CB1" w:rsidRPr="009F1907" w:rsidRDefault="007D6CB1">
            <w:pPr>
              <w:ind w:left="3600" w:firstLine="720"/>
              <w:jc w:val="center"/>
              <w:rPr>
                <w:color w:val="000000"/>
                <w:lang w:val="da-DK"/>
              </w:rPr>
            </w:pPr>
            <w:r w:rsidRPr="009F1907">
              <w:rPr>
                <w:b/>
                <w:color w:val="000000"/>
                <w:lang w:val="da-DK"/>
              </w:rPr>
              <w:t xml:space="preserve"> </w:t>
            </w:r>
          </w:p>
          <w:p w:rsidR="00E879CE" w:rsidRDefault="00E879CE">
            <w:pPr>
              <w:ind w:left="3600" w:firstLine="720"/>
              <w:rPr>
                <w:b/>
                <w:color w:val="000000"/>
                <w:lang w:val="da-DK"/>
              </w:rPr>
            </w:pPr>
          </w:p>
          <w:p w:rsidR="00E879CE" w:rsidRDefault="00E879CE">
            <w:pPr>
              <w:ind w:left="3600" w:firstLine="720"/>
              <w:rPr>
                <w:b/>
                <w:color w:val="000000"/>
                <w:lang w:val="da-DK"/>
              </w:rPr>
            </w:pPr>
          </w:p>
          <w:p w:rsidR="00E879CE" w:rsidRPr="009F1907" w:rsidRDefault="00E879CE">
            <w:pPr>
              <w:ind w:left="3600" w:firstLine="720"/>
              <w:rPr>
                <w:color w:val="000000"/>
                <w:lang w:val="da-DK"/>
              </w:rPr>
            </w:pPr>
            <w:r w:rsidRPr="009F1907">
              <w:rPr>
                <w:b/>
                <w:color w:val="000000"/>
                <w:lang w:val="da-DK"/>
              </w:rPr>
              <w:t xml:space="preserve"> </w:t>
            </w:r>
          </w:p>
          <w:p w:rsidR="00E879CE" w:rsidRDefault="00E879CE">
            <w:pPr>
              <w:jc w:val="center"/>
              <w:rPr>
                <w:b/>
                <w:color w:val="000000"/>
                <w:lang w:val="da-DK"/>
              </w:rPr>
            </w:pPr>
            <w:r w:rsidRPr="00E26AE0">
              <w:rPr>
                <w:b/>
                <w:color w:val="000000"/>
                <w:lang w:val="da-DK"/>
              </w:rPr>
              <w:t>§ 1</w:t>
            </w:r>
          </w:p>
          <w:p w:rsidR="00E879CE" w:rsidRPr="00E26AE0" w:rsidRDefault="00E879CE">
            <w:pPr>
              <w:jc w:val="center"/>
              <w:rPr>
                <w:b/>
                <w:color w:val="000000"/>
                <w:lang w:val="da-DK"/>
              </w:rPr>
            </w:pPr>
          </w:p>
          <w:p w:rsidR="00E879CE" w:rsidRDefault="00E879CE" w:rsidP="00E26AE0">
            <w:pPr>
              <w:rPr>
                <w:color w:val="000000"/>
                <w:lang w:val="da-DK"/>
              </w:rPr>
            </w:pPr>
            <w:r>
              <w:rPr>
                <w:color w:val="000000"/>
                <w:lang w:val="da-DK"/>
              </w:rPr>
              <w:t xml:space="preserve">   I selskabsskatteloven, jf. lovb</w:t>
            </w:r>
            <w:r>
              <w:rPr>
                <w:color w:val="000000"/>
                <w:lang w:val="da-DK"/>
              </w:rPr>
              <w:t>e</w:t>
            </w:r>
            <w:r>
              <w:rPr>
                <w:color w:val="000000"/>
                <w:lang w:val="da-DK"/>
              </w:rPr>
              <w:t xml:space="preserve">kendtgørelse nr. </w:t>
            </w:r>
            <w:r w:rsidRPr="00FA42BF">
              <w:rPr>
                <w:color w:val="000000"/>
                <w:lang w:val="da-DK"/>
              </w:rPr>
              <w:t>1082 af 14</w:t>
            </w:r>
            <w:r>
              <w:rPr>
                <w:color w:val="000000"/>
                <w:lang w:val="da-DK"/>
              </w:rPr>
              <w:t xml:space="preserve">. november </w:t>
            </w:r>
            <w:r w:rsidRPr="00FA42BF">
              <w:rPr>
                <w:color w:val="000000"/>
                <w:lang w:val="da-DK"/>
              </w:rPr>
              <w:t>2012</w:t>
            </w:r>
            <w:r>
              <w:rPr>
                <w:color w:val="000000"/>
                <w:lang w:val="da-DK"/>
              </w:rPr>
              <w:t>, som ændret bl.a. ved</w:t>
            </w:r>
            <w:r w:rsidRPr="00FA42BF">
              <w:rPr>
                <w:color w:val="000000"/>
                <w:lang w:val="da-DK"/>
              </w:rPr>
              <w:t xml:space="preserve"> § 2 i lov nr. </w:t>
            </w:r>
            <w:r>
              <w:rPr>
                <w:color w:val="000000"/>
                <w:lang w:val="da-DK"/>
              </w:rPr>
              <w:t xml:space="preserve">528 </w:t>
            </w:r>
            <w:r w:rsidRPr="00FA42BF">
              <w:rPr>
                <w:color w:val="000000"/>
                <w:lang w:val="da-DK"/>
              </w:rPr>
              <w:t>af 2</w:t>
            </w:r>
            <w:r>
              <w:rPr>
                <w:color w:val="000000"/>
                <w:lang w:val="da-DK"/>
              </w:rPr>
              <w:t>8</w:t>
            </w:r>
            <w:r w:rsidRPr="00FA42BF">
              <w:rPr>
                <w:color w:val="000000"/>
                <w:lang w:val="da-DK"/>
              </w:rPr>
              <w:t>. ma</w:t>
            </w:r>
            <w:r>
              <w:rPr>
                <w:color w:val="000000"/>
                <w:lang w:val="da-DK"/>
              </w:rPr>
              <w:t>j</w:t>
            </w:r>
            <w:r w:rsidRPr="00FA42BF">
              <w:rPr>
                <w:color w:val="000000"/>
                <w:lang w:val="da-DK"/>
              </w:rPr>
              <w:t xml:space="preserve"> 2014</w:t>
            </w:r>
            <w:r>
              <w:rPr>
                <w:color w:val="000000"/>
                <w:lang w:val="da-DK"/>
              </w:rPr>
              <w:t xml:space="preserve"> og senest ved § 4 i lov nr. 1375 af 16. december 2014</w:t>
            </w:r>
            <w:r w:rsidRPr="00FA42BF">
              <w:rPr>
                <w:color w:val="000000"/>
                <w:lang w:val="da-DK"/>
              </w:rPr>
              <w:t>,</w:t>
            </w:r>
            <w:r>
              <w:rPr>
                <w:color w:val="000000"/>
                <w:lang w:val="da-DK"/>
              </w:rPr>
              <w:t xml:space="preserve"> foretages følgende ændringer:</w:t>
            </w:r>
          </w:p>
          <w:p w:rsidR="00E879CE" w:rsidRPr="009F1907" w:rsidRDefault="00E879CE" w:rsidP="00E26AE0">
            <w:pPr>
              <w:rPr>
                <w:color w:val="000000"/>
                <w:lang w:val="da-DK"/>
              </w:rPr>
            </w:pPr>
          </w:p>
          <w:p w:rsidR="00E879CE" w:rsidRPr="00FE19AF" w:rsidRDefault="00E879CE" w:rsidP="00E26AE0">
            <w:pPr>
              <w:tabs>
                <w:tab w:val="left" w:pos="0"/>
                <w:tab w:val="left" w:pos="284"/>
              </w:tabs>
              <w:rPr>
                <w:bCs/>
                <w:color w:val="000000"/>
                <w:lang w:val="da-DK"/>
              </w:rPr>
            </w:pPr>
            <w:r w:rsidRPr="009F1907">
              <w:rPr>
                <w:b/>
                <w:bCs/>
                <w:color w:val="000000"/>
                <w:lang w:val="da-DK"/>
              </w:rPr>
              <w:t xml:space="preserve">1. </w:t>
            </w:r>
            <w:r w:rsidRPr="00FE40BF">
              <w:rPr>
                <w:bCs/>
                <w:color w:val="000000"/>
                <w:lang w:val="da-DK"/>
              </w:rPr>
              <w:t>I</w:t>
            </w:r>
            <w:r>
              <w:rPr>
                <w:b/>
                <w:bCs/>
                <w:color w:val="000000"/>
                <w:lang w:val="da-DK"/>
              </w:rPr>
              <w:t xml:space="preserve"> </w:t>
            </w:r>
            <w:r w:rsidRPr="00FE19AF">
              <w:rPr>
                <w:bCs/>
                <w:i/>
                <w:color w:val="000000"/>
                <w:lang w:val="da-DK"/>
              </w:rPr>
              <w:t>§ 35, stk. 1</w:t>
            </w:r>
            <w:r>
              <w:rPr>
                <w:bCs/>
                <w:color w:val="000000"/>
                <w:lang w:val="da-DK"/>
              </w:rPr>
              <w:t>,</w:t>
            </w:r>
            <w:r w:rsidRPr="00FE19AF">
              <w:rPr>
                <w:bCs/>
                <w:color w:val="000000"/>
                <w:lang w:val="da-DK"/>
              </w:rPr>
              <w:t xml:space="preserve"> affattes således:</w:t>
            </w:r>
          </w:p>
          <w:p w:rsidR="00E879CE" w:rsidRDefault="00E879CE" w:rsidP="00E26AE0">
            <w:pPr>
              <w:tabs>
                <w:tab w:val="left" w:pos="0"/>
                <w:tab w:val="left" w:pos="284"/>
              </w:tabs>
              <w:rPr>
                <w:bCs/>
                <w:color w:val="000000"/>
                <w:lang w:val="da-DK"/>
              </w:rPr>
            </w:pPr>
            <w:r w:rsidRPr="00FE19AF">
              <w:rPr>
                <w:bCs/>
                <w:color w:val="000000"/>
                <w:lang w:val="da-DK"/>
              </w:rPr>
              <w:t>”</w:t>
            </w:r>
            <w:r w:rsidRPr="00A96A5A">
              <w:rPr>
                <w:bCs/>
                <w:i/>
                <w:color w:val="000000"/>
                <w:lang w:val="da-DK"/>
              </w:rPr>
              <w:t>Stk. 1</w:t>
            </w:r>
            <w:r>
              <w:rPr>
                <w:bCs/>
                <w:i/>
                <w:color w:val="000000"/>
                <w:lang w:val="da-DK"/>
              </w:rPr>
              <w:t xml:space="preserve">. </w:t>
            </w:r>
            <w:r w:rsidRPr="00FE19AF">
              <w:rPr>
                <w:bCs/>
                <w:color w:val="000000"/>
                <w:lang w:val="da-DK"/>
              </w:rPr>
              <w:t>Skattepligtige selskaber m.v. skal for hvert af indkomstårene 2002 til og med det seneste indkomstår, der udløber inden indberetningstidspun</w:t>
            </w:r>
            <w:r w:rsidRPr="00FE19AF">
              <w:rPr>
                <w:bCs/>
                <w:color w:val="000000"/>
                <w:lang w:val="da-DK"/>
              </w:rPr>
              <w:t>k</w:t>
            </w:r>
            <w:r w:rsidRPr="00FE19AF">
              <w:rPr>
                <w:bCs/>
                <w:color w:val="000000"/>
                <w:lang w:val="da-DK"/>
              </w:rPr>
              <w:t>tet, foretage digital indberetning til told- og skatteforvaltningen af rest</w:t>
            </w:r>
            <w:r w:rsidRPr="00FE19AF">
              <w:rPr>
                <w:bCs/>
                <w:color w:val="000000"/>
                <w:lang w:val="da-DK"/>
              </w:rPr>
              <w:t>e</w:t>
            </w:r>
            <w:r w:rsidRPr="00FE19AF">
              <w:rPr>
                <w:bCs/>
                <w:color w:val="000000"/>
                <w:lang w:val="da-DK"/>
              </w:rPr>
              <w:t>rende fremførselsberettigede unde</w:t>
            </w:r>
            <w:r w:rsidRPr="00FE19AF">
              <w:rPr>
                <w:bCs/>
                <w:color w:val="000000"/>
                <w:lang w:val="da-DK"/>
              </w:rPr>
              <w:t>r</w:t>
            </w:r>
            <w:r w:rsidRPr="00FE19AF">
              <w:rPr>
                <w:bCs/>
                <w:color w:val="000000"/>
                <w:lang w:val="da-DK"/>
              </w:rPr>
              <w:t>skud, jf. § 12 og fondsbeskatningsl</w:t>
            </w:r>
            <w:r w:rsidRPr="00FE19AF">
              <w:rPr>
                <w:bCs/>
                <w:color w:val="000000"/>
                <w:lang w:val="da-DK"/>
              </w:rPr>
              <w:t>o</w:t>
            </w:r>
            <w:r w:rsidRPr="00FE19AF">
              <w:rPr>
                <w:bCs/>
                <w:color w:val="000000"/>
                <w:lang w:val="da-DK"/>
              </w:rPr>
              <w:t>vens § 3, stk. 2, jf. dog stk. 4. For sambeskattede selskaber m.v. påhviler indberetningspligten administration</w:t>
            </w:r>
            <w:r w:rsidRPr="00FE19AF">
              <w:rPr>
                <w:bCs/>
                <w:color w:val="000000"/>
                <w:lang w:val="da-DK"/>
              </w:rPr>
              <w:t>s</w:t>
            </w:r>
            <w:r w:rsidRPr="00FE19AF">
              <w:rPr>
                <w:bCs/>
                <w:color w:val="000000"/>
                <w:lang w:val="da-DK"/>
              </w:rPr>
              <w:t>selskabet. Der betales et tillæg på 5.000 kr., hvis der ikke indberettes rettidigt efter 1. pkt. Tillægget tilfalder staten.”</w:t>
            </w: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r>
              <w:rPr>
                <w:b/>
                <w:color w:val="000000"/>
                <w:lang w:val="da-DK"/>
              </w:rPr>
              <w:t xml:space="preserve">2. </w:t>
            </w:r>
            <w:r>
              <w:rPr>
                <w:bCs/>
                <w:color w:val="000000"/>
                <w:lang w:val="da-DK"/>
              </w:rPr>
              <w:t xml:space="preserve">I </w:t>
            </w:r>
            <w:r w:rsidRPr="00733532">
              <w:rPr>
                <w:bCs/>
                <w:i/>
                <w:color w:val="000000"/>
                <w:lang w:val="da-DK"/>
              </w:rPr>
              <w:t>§ 35 stk. 2</w:t>
            </w:r>
            <w:r w:rsidRPr="00A96A5A">
              <w:rPr>
                <w:bCs/>
                <w:i/>
                <w:color w:val="000000"/>
                <w:lang w:val="da-DK"/>
              </w:rPr>
              <w:t>,</w:t>
            </w:r>
            <w:r>
              <w:rPr>
                <w:bCs/>
                <w:color w:val="000000"/>
                <w:lang w:val="da-DK"/>
              </w:rPr>
              <w:t xml:space="preserve"> indsættes efter ”dig</w:t>
            </w:r>
            <w:r>
              <w:rPr>
                <w:bCs/>
                <w:color w:val="000000"/>
                <w:lang w:val="da-DK"/>
              </w:rPr>
              <w:t>i</w:t>
            </w:r>
            <w:r>
              <w:rPr>
                <w:bCs/>
                <w:color w:val="000000"/>
                <w:lang w:val="da-DK"/>
              </w:rPr>
              <w:t>talt”: ”, jf. dog stk. 4”.</w:t>
            </w: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Default="00E879CE" w:rsidP="00E26AE0">
            <w:pPr>
              <w:tabs>
                <w:tab w:val="left" w:pos="0"/>
                <w:tab w:val="left" w:pos="284"/>
              </w:tabs>
              <w:rPr>
                <w:bCs/>
                <w:color w:val="000000"/>
                <w:lang w:val="da-DK"/>
              </w:rPr>
            </w:pPr>
          </w:p>
          <w:p w:rsidR="00E879CE" w:rsidRPr="00FE19AF" w:rsidRDefault="00E879CE" w:rsidP="00E26AE0">
            <w:pPr>
              <w:tabs>
                <w:tab w:val="left" w:pos="0"/>
                <w:tab w:val="left" w:pos="284"/>
              </w:tabs>
              <w:rPr>
                <w:color w:val="000000"/>
                <w:lang w:val="da-DK"/>
              </w:rPr>
            </w:pPr>
            <w:r w:rsidRPr="00E26AE0">
              <w:rPr>
                <w:b/>
                <w:color w:val="000000"/>
                <w:lang w:val="da-DK"/>
              </w:rPr>
              <w:t>3.</w:t>
            </w:r>
            <w:r w:rsidRPr="00FE19AF">
              <w:rPr>
                <w:color w:val="000000"/>
                <w:lang w:val="da-DK"/>
              </w:rPr>
              <w:t xml:space="preserve"> </w:t>
            </w:r>
            <w:r w:rsidRPr="00090990">
              <w:rPr>
                <w:i/>
                <w:color w:val="000000"/>
                <w:lang w:val="da-DK"/>
              </w:rPr>
              <w:t>§ 35, stk. 4,</w:t>
            </w:r>
            <w:r w:rsidRPr="00FE19AF">
              <w:rPr>
                <w:color w:val="000000"/>
                <w:lang w:val="da-DK"/>
              </w:rPr>
              <w:t xml:space="preserve"> affattes således:</w:t>
            </w:r>
          </w:p>
          <w:p w:rsidR="00E879CE" w:rsidRPr="009F1907" w:rsidRDefault="00E879CE" w:rsidP="00E26AE0">
            <w:pPr>
              <w:tabs>
                <w:tab w:val="left" w:pos="0"/>
                <w:tab w:val="left" w:pos="284"/>
              </w:tabs>
              <w:rPr>
                <w:color w:val="000000"/>
                <w:lang w:val="da-DK"/>
              </w:rPr>
            </w:pPr>
            <w:r w:rsidRPr="00FE19AF">
              <w:rPr>
                <w:color w:val="000000"/>
                <w:lang w:val="da-DK"/>
              </w:rPr>
              <w:t>”</w:t>
            </w:r>
            <w:r w:rsidRPr="00A96A5A">
              <w:rPr>
                <w:i/>
                <w:color w:val="000000"/>
                <w:lang w:val="da-DK"/>
              </w:rPr>
              <w:t>Stk. 4.</w:t>
            </w:r>
            <w:r>
              <w:rPr>
                <w:color w:val="000000"/>
                <w:lang w:val="da-DK"/>
              </w:rPr>
              <w:t xml:space="preserve"> </w:t>
            </w:r>
            <w:r w:rsidRPr="00FE19AF">
              <w:rPr>
                <w:color w:val="000000"/>
                <w:lang w:val="da-DK"/>
              </w:rPr>
              <w:t>Skatteministeren fastsætter regler om fritagelse for visse selskaber m.v. fra indberetningspligten</w:t>
            </w:r>
            <w:r>
              <w:rPr>
                <w:color w:val="000000"/>
                <w:lang w:val="da-DK"/>
              </w:rPr>
              <w:t>. Endv</w:t>
            </w:r>
            <w:r>
              <w:rPr>
                <w:color w:val="000000"/>
                <w:lang w:val="da-DK"/>
              </w:rPr>
              <w:t>i</w:t>
            </w:r>
            <w:r>
              <w:rPr>
                <w:color w:val="000000"/>
                <w:lang w:val="da-DK"/>
              </w:rPr>
              <w:t>dere kan ministeren fastsætte regler om</w:t>
            </w:r>
            <w:r w:rsidRPr="00FE19AF">
              <w:rPr>
                <w:color w:val="000000"/>
                <w:lang w:val="da-DK"/>
              </w:rPr>
              <w:t xml:space="preserve"> indberetningstidspunktet, adga</w:t>
            </w:r>
            <w:r w:rsidRPr="00FE19AF">
              <w:rPr>
                <w:color w:val="000000"/>
                <w:lang w:val="da-DK"/>
              </w:rPr>
              <w:t>n</w:t>
            </w:r>
            <w:r w:rsidRPr="00FE19AF">
              <w:rPr>
                <w:color w:val="000000"/>
                <w:lang w:val="da-DK"/>
              </w:rPr>
              <w:t>gen for told- og skatteforvaltningen til, hvis der foreligger særlige omstændi</w:t>
            </w:r>
            <w:r w:rsidRPr="00FE19AF">
              <w:rPr>
                <w:color w:val="000000"/>
                <w:lang w:val="da-DK"/>
              </w:rPr>
              <w:t>g</w:t>
            </w:r>
            <w:r w:rsidRPr="00FE19AF">
              <w:rPr>
                <w:color w:val="000000"/>
                <w:lang w:val="da-DK"/>
              </w:rPr>
              <w:t>heder, at se bort fra en fristoverskride</w:t>
            </w:r>
            <w:r w:rsidRPr="00FE19AF">
              <w:rPr>
                <w:color w:val="000000"/>
                <w:lang w:val="da-DK"/>
              </w:rPr>
              <w:t>l</w:t>
            </w:r>
            <w:r w:rsidRPr="00FE19AF">
              <w:rPr>
                <w:color w:val="000000"/>
                <w:lang w:val="da-DK"/>
              </w:rPr>
              <w:t>se, herunder at frafalde tillægget i stk. 1, perioden for indberetningen, hvilke specifikationer indberetningen skal indeholde, og hvorledes indberetni</w:t>
            </w:r>
            <w:r w:rsidRPr="00FE19AF">
              <w:rPr>
                <w:color w:val="000000"/>
                <w:lang w:val="da-DK"/>
              </w:rPr>
              <w:t>n</w:t>
            </w:r>
            <w:r w:rsidRPr="00FE19AF">
              <w:rPr>
                <w:color w:val="000000"/>
                <w:lang w:val="da-DK"/>
              </w:rPr>
              <w:t>gen skal ske efter stk. 1 og 2.”</w:t>
            </w:r>
          </w:p>
          <w:p w:rsidR="00E879CE" w:rsidRDefault="00E879CE" w:rsidP="00E26AE0">
            <w:pPr>
              <w:tabs>
                <w:tab w:val="left" w:pos="284"/>
              </w:tabs>
              <w:jc w:val="both"/>
              <w:rPr>
                <w:b/>
                <w:color w:val="000000"/>
                <w:lang w:val="da-DK"/>
              </w:rPr>
            </w:pPr>
          </w:p>
          <w:p w:rsidR="00E879CE" w:rsidRPr="009F1907" w:rsidRDefault="00E879CE" w:rsidP="00E26AE0">
            <w:pPr>
              <w:ind w:left="3600" w:firstLine="720"/>
              <w:jc w:val="center"/>
              <w:rPr>
                <w:color w:val="000000"/>
                <w:lang w:val="da-DK"/>
              </w:rPr>
            </w:pPr>
            <w:r>
              <w:rPr>
                <w:b/>
                <w:color w:val="000000"/>
                <w:lang w:val="da-DK"/>
              </w:rPr>
              <w:t xml:space="preserve">§ </w:t>
            </w:r>
          </w:p>
          <w:p w:rsidR="00E879CE" w:rsidRDefault="00E879CE" w:rsidP="006B379C">
            <w:pPr>
              <w:jc w:val="center"/>
              <w:rPr>
                <w:b/>
                <w:color w:val="000000"/>
                <w:lang w:val="da-DK"/>
              </w:rPr>
            </w:pPr>
            <w:r>
              <w:rPr>
                <w:b/>
                <w:color w:val="000000"/>
                <w:lang w:val="da-DK"/>
              </w:rPr>
              <w:t xml:space="preserve">§ </w:t>
            </w:r>
            <w:r w:rsidRPr="00E26AE0">
              <w:rPr>
                <w:b/>
                <w:color w:val="000000"/>
                <w:lang w:val="da-DK"/>
              </w:rPr>
              <w:t>2</w:t>
            </w:r>
          </w:p>
          <w:p w:rsidR="00E879CE" w:rsidRPr="00E26AE0" w:rsidRDefault="00E879CE" w:rsidP="00CB7CE9">
            <w:pPr>
              <w:jc w:val="center"/>
              <w:rPr>
                <w:b/>
                <w:color w:val="000000"/>
                <w:lang w:val="da-DK"/>
              </w:rPr>
            </w:pPr>
          </w:p>
          <w:p w:rsidR="00E879CE" w:rsidRPr="009F1907" w:rsidRDefault="00E879CE" w:rsidP="00E26AE0">
            <w:pPr>
              <w:rPr>
                <w:color w:val="000000"/>
                <w:lang w:val="da-DK"/>
              </w:rPr>
            </w:pPr>
            <w:r>
              <w:rPr>
                <w:rStyle w:val="Fodnotehenvisning"/>
                <w:rFonts w:eastAsia="Arial Unicode MS"/>
                <w:color w:val="000000"/>
                <w:lang w:val="da-DK"/>
              </w:rPr>
              <w:t xml:space="preserve">   </w:t>
            </w:r>
            <w:r w:rsidRPr="009F1907">
              <w:rPr>
                <w:rStyle w:val="Fodnotehenvisning"/>
                <w:rFonts w:eastAsia="Arial Unicode MS"/>
                <w:color w:val="000000"/>
                <w:lang w:val="da-DK"/>
              </w:rPr>
              <w:t>I</w:t>
            </w:r>
            <w:r w:rsidRPr="009F1907">
              <w:rPr>
                <w:color w:val="000000"/>
                <w:lang w:val="da-DK"/>
              </w:rPr>
              <w:t xml:space="preserve"> </w:t>
            </w:r>
            <w:r w:rsidRPr="00401477">
              <w:rPr>
                <w:color w:val="000000"/>
                <w:lang w:val="da-DK"/>
              </w:rPr>
              <w:t>lov nr. 528 af 28. maj 2014 om ændring af aktieavancebeskatningsl</w:t>
            </w:r>
            <w:r w:rsidRPr="00401477">
              <w:rPr>
                <w:color w:val="000000"/>
                <w:lang w:val="da-DK"/>
              </w:rPr>
              <w:t>o</w:t>
            </w:r>
            <w:r w:rsidRPr="00401477">
              <w:rPr>
                <w:color w:val="000000"/>
                <w:lang w:val="da-DK"/>
              </w:rPr>
              <w:t>ven, selskabsskatteloven og</w:t>
            </w:r>
            <w:r>
              <w:rPr>
                <w:color w:val="000000"/>
                <w:lang w:val="da-DK"/>
              </w:rPr>
              <w:t xml:space="preserve"> </w:t>
            </w:r>
            <w:r w:rsidRPr="00401477">
              <w:rPr>
                <w:color w:val="000000"/>
                <w:lang w:val="da-DK"/>
              </w:rPr>
              <w:t>skatteko</w:t>
            </w:r>
            <w:r w:rsidRPr="00401477">
              <w:rPr>
                <w:color w:val="000000"/>
                <w:lang w:val="da-DK"/>
              </w:rPr>
              <w:t>n</w:t>
            </w:r>
            <w:r w:rsidRPr="00401477">
              <w:rPr>
                <w:color w:val="000000"/>
                <w:lang w:val="da-DK"/>
              </w:rPr>
              <w:t>trolloven (Selskaber m.v.s registrering af fremførselsberettigede underskud, oplysningspligt om erhvervelse af vi</w:t>
            </w:r>
            <w:r w:rsidRPr="00401477">
              <w:rPr>
                <w:color w:val="000000"/>
                <w:lang w:val="da-DK"/>
              </w:rPr>
              <w:t>s</w:t>
            </w:r>
            <w:r w:rsidRPr="00401477">
              <w:rPr>
                <w:color w:val="000000"/>
                <w:lang w:val="da-DK"/>
              </w:rPr>
              <w:t>se aktier og investeringsbeviser m.v., selvangivelse af kildeartsbegrænsede tab m.v.) foretages følgende ændring</w:t>
            </w:r>
            <w:r w:rsidRPr="009F1907">
              <w:rPr>
                <w:color w:val="000000"/>
                <w:lang w:val="da-DK"/>
              </w:rPr>
              <w:t>:</w:t>
            </w:r>
          </w:p>
          <w:p w:rsidR="00E879CE" w:rsidRPr="009F1907" w:rsidRDefault="00E879CE" w:rsidP="00E26AE0">
            <w:pPr>
              <w:rPr>
                <w:color w:val="000000"/>
                <w:lang w:val="da-DK"/>
              </w:rPr>
            </w:pPr>
          </w:p>
          <w:p w:rsidR="00E879CE" w:rsidRDefault="00E879CE" w:rsidP="00E26AE0">
            <w:pPr>
              <w:tabs>
                <w:tab w:val="left" w:pos="284"/>
              </w:tabs>
              <w:jc w:val="both"/>
              <w:rPr>
                <w:color w:val="000000"/>
                <w:lang w:val="da-DK"/>
              </w:rPr>
            </w:pPr>
            <w:r w:rsidRPr="009F1907">
              <w:rPr>
                <w:b/>
                <w:bCs/>
                <w:color w:val="000000"/>
                <w:lang w:val="da-DK"/>
              </w:rPr>
              <w:t xml:space="preserve">1. </w:t>
            </w:r>
            <w:r w:rsidRPr="00401477">
              <w:rPr>
                <w:i/>
                <w:color w:val="000000"/>
                <w:lang w:val="da-DK"/>
              </w:rPr>
              <w:t>§ 4</w:t>
            </w:r>
            <w:r>
              <w:rPr>
                <w:i/>
                <w:color w:val="000000"/>
                <w:lang w:val="da-DK"/>
              </w:rPr>
              <w:t>, stk. 5</w:t>
            </w:r>
            <w:r>
              <w:rPr>
                <w:color w:val="000000"/>
                <w:lang w:val="da-DK"/>
              </w:rPr>
              <w:t>, affattes således:</w:t>
            </w:r>
          </w:p>
          <w:p w:rsidR="00E879CE" w:rsidRPr="00562D5A" w:rsidRDefault="00E879CE" w:rsidP="00E26AE0">
            <w:pPr>
              <w:rPr>
                <w:lang w:val="da-DK"/>
              </w:rPr>
            </w:pPr>
            <w:r w:rsidRPr="00562D5A">
              <w:rPr>
                <w:lang w:val="da-DK"/>
              </w:rPr>
              <w:t>”</w:t>
            </w:r>
            <w:r w:rsidRPr="00562D5A">
              <w:rPr>
                <w:i/>
                <w:iCs/>
                <w:lang w:val="da-DK"/>
              </w:rPr>
              <w:t>Stk. 5.</w:t>
            </w:r>
            <w:r w:rsidRPr="00562D5A">
              <w:rPr>
                <w:lang w:val="da-DK"/>
              </w:rPr>
              <w:t xml:space="preserve"> Juridiske personer</w:t>
            </w:r>
            <w:r>
              <w:rPr>
                <w:lang w:val="da-DK"/>
              </w:rPr>
              <w:t xml:space="preserve">, som </w:t>
            </w:r>
            <w:r w:rsidR="00491F40">
              <w:rPr>
                <w:lang w:val="da-DK"/>
              </w:rPr>
              <w:t>omfa</w:t>
            </w:r>
            <w:r w:rsidR="00491F40">
              <w:rPr>
                <w:lang w:val="da-DK"/>
              </w:rPr>
              <w:t>t</w:t>
            </w:r>
            <w:r w:rsidR="00491F40">
              <w:rPr>
                <w:lang w:val="da-DK"/>
              </w:rPr>
              <w:t>tet af</w:t>
            </w:r>
            <w:r>
              <w:rPr>
                <w:lang w:val="da-DK"/>
              </w:rPr>
              <w:t xml:space="preserve"> skattekontrollovens § 4, stk. 2,</w:t>
            </w:r>
            <w:r w:rsidRPr="00562D5A">
              <w:rPr>
                <w:lang w:val="da-DK"/>
              </w:rPr>
              <w:t xml:space="preserve"> skal for indkomståret 2014 selvangive senest den 1. september 2015 og</w:t>
            </w:r>
            <w:r>
              <w:rPr>
                <w:lang w:val="da-DK"/>
              </w:rPr>
              <w:t xml:space="preserve"> </w:t>
            </w:r>
            <w:r w:rsidRPr="00562D5A">
              <w:rPr>
                <w:lang w:val="da-DK"/>
              </w:rPr>
              <w:t>for indkomståret 2015 senest den 1. se</w:t>
            </w:r>
            <w:r w:rsidRPr="00562D5A">
              <w:rPr>
                <w:lang w:val="da-DK"/>
              </w:rPr>
              <w:t>p</w:t>
            </w:r>
            <w:r w:rsidRPr="00562D5A">
              <w:rPr>
                <w:lang w:val="da-DK"/>
              </w:rPr>
              <w:t>tember 2016.</w:t>
            </w:r>
            <w:r>
              <w:rPr>
                <w:lang w:val="da-DK"/>
              </w:rPr>
              <w:t>”</w:t>
            </w:r>
          </w:p>
          <w:p w:rsidR="00E879CE" w:rsidRPr="00401477" w:rsidRDefault="00E879CE" w:rsidP="00E26AE0">
            <w:pPr>
              <w:rPr>
                <w:color w:val="000000"/>
                <w:lang w:val="da-DK"/>
              </w:rPr>
            </w:pPr>
            <w:r>
              <w:rPr>
                <w:color w:val="000000"/>
                <w:lang w:val="da-DK"/>
              </w:rPr>
              <w:t xml:space="preserve"> </w:t>
            </w:r>
          </w:p>
          <w:p w:rsidR="00E879CE" w:rsidRDefault="00E879CE" w:rsidP="006B379C">
            <w:pPr>
              <w:ind w:left="3600" w:firstLine="720"/>
              <w:rPr>
                <w:b/>
                <w:color w:val="000000"/>
                <w:lang w:val="da-DK"/>
              </w:rPr>
            </w:pPr>
          </w:p>
          <w:p w:rsidR="00E879CE" w:rsidRDefault="00E879CE" w:rsidP="00CB7CE9">
            <w:pPr>
              <w:ind w:left="3600" w:firstLine="720"/>
              <w:rPr>
                <w:b/>
                <w:color w:val="000000"/>
                <w:lang w:val="da-DK"/>
              </w:rPr>
            </w:pPr>
          </w:p>
          <w:p w:rsidR="00E879CE" w:rsidRPr="009F1907" w:rsidRDefault="00E879CE">
            <w:pPr>
              <w:ind w:left="3600" w:firstLine="720"/>
              <w:rPr>
                <w:color w:val="000000"/>
                <w:lang w:val="da-DK"/>
              </w:rPr>
            </w:pPr>
            <w:r>
              <w:rPr>
                <w:b/>
                <w:color w:val="000000"/>
                <w:lang w:val="da-DK"/>
              </w:rPr>
              <w:t xml:space="preserve">§ </w:t>
            </w:r>
          </w:p>
          <w:p w:rsidR="00E879CE" w:rsidRDefault="00E879CE" w:rsidP="00E26AE0">
            <w:pPr>
              <w:tabs>
                <w:tab w:val="left" w:pos="0"/>
                <w:tab w:val="left" w:pos="284"/>
              </w:tabs>
              <w:jc w:val="center"/>
              <w:rPr>
                <w:b/>
                <w:bCs/>
                <w:color w:val="000000"/>
                <w:lang w:val="da-DK"/>
              </w:rPr>
            </w:pPr>
            <w:r>
              <w:rPr>
                <w:b/>
                <w:bCs/>
                <w:color w:val="000000"/>
                <w:lang w:val="da-DK"/>
              </w:rPr>
              <w:t>§ 3</w:t>
            </w:r>
          </w:p>
          <w:p w:rsidR="007D6CB1" w:rsidRPr="004A3137" w:rsidRDefault="00E879CE">
            <w:pPr>
              <w:rPr>
                <w:b/>
                <w:bCs/>
                <w:lang w:val="da-DK"/>
              </w:rPr>
            </w:pPr>
            <w:r w:rsidRPr="009F1907">
              <w:rPr>
                <w:i/>
                <w:iCs/>
                <w:color w:val="000000"/>
                <w:lang w:val="da-DK"/>
              </w:rPr>
              <w:t xml:space="preserve"> </w:t>
            </w:r>
            <w:r w:rsidRPr="009F1907">
              <w:rPr>
                <w:iCs/>
                <w:color w:val="000000"/>
                <w:lang w:val="da-DK"/>
              </w:rPr>
              <w:t xml:space="preserve">Loven træder i kraft den </w:t>
            </w:r>
            <w:r>
              <w:rPr>
                <w:iCs/>
                <w:color w:val="000000"/>
                <w:lang w:val="da-DK"/>
              </w:rPr>
              <w:t>1. juli 2015</w:t>
            </w:r>
            <w:r w:rsidRPr="009F1907">
              <w:rPr>
                <w:iCs/>
                <w:color w:val="000000"/>
                <w:lang w:val="da-DK"/>
              </w:rPr>
              <w:t>.</w:t>
            </w:r>
          </w:p>
        </w:tc>
      </w:tr>
    </w:tbl>
    <w:p w:rsidR="00FE19AF" w:rsidRPr="009F1907" w:rsidRDefault="00FE19AF" w:rsidP="0036355D">
      <w:pPr>
        <w:jc w:val="center"/>
        <w:rPr>
          <w:i/>
          <w:iCs/>
          <w:color w:val="000000"/>
          <w:lang w:val="da-DK"/>
        </w:rPr>
      </w:pPr>
    </w:p>
    <w:sectPr w:rsidR="00FE19AF" w:rsidRPr="009F1907" w:rsidSect="00621B84">
      <w:head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25" w:rsidRDefault="00EC1625" w:rsidP="00CD6DE5">
      <w:r>
        <w:separator/>
      </w:r>
    </w:p>
  </w:endnote>
  <w:endnote w:type="continuationSeparator" w:id="0">
    <w:p w:rsidR="00EC1625" w:rsidRDefault="00EC1625" w:rsidP="00C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25" w:rsidRDefault="00EC1625" w:rsidP="00CD6DE5">
      <w:r>
        <w:separator/>
      </w:r>
    </w:p>
  </w:footnote>
  <w:footnote w:type="continuationSeparator" w:id="0">
    <w:p w:rsidR="00EC1625" w:rsidRDefault="00EC1625" w:rsidP="00CD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25" w:rsidRDefault="00EC1625">
    <w:pPr>
      <w:pStyle w:val="Sidehoved"/>
      <w:jc w:val="center"/>
    </w:pPr>
    <w:r>
      <w:fldChar w:fldCharType="begin"/>
    </w:r>
    <w:r>
      <w:instrText>PAGE   \* MERGEFORMAT</w:instrText>
    </w:r>
    <w:r>
      <w:fldChar w:fldCharType="separate"/>
    </w:r>
    <w:r w:rsidR="00877202" w:rsidRPr="00877202">
      <w:rPr>
        <w:noProof/>
        <w:lang w:val="da-DK"/>
      </w:rPr>
      <w:t>7</w:t>
    </w:r>
    <w:r>
      <w:fldChar w:fldCharType="end"/>
    </w:r>
  </w:p>
  <w:p w:rsidR="00EC1625" w:rsidRDefault="00EC162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84"/>
    <w:rsid w:val="00002536"/>
    <w:rsid w:val="000071DF"/>
    <w:rsid w:val="00024CF5"/>
    <w:rsid w:val="000268DF"/>
    <w:rsid w:val="00071C89"/>
    <w:rsid w:val="00090990"/>
    <w:rsid w:val="000A0922"/>
    <w:rsid w:val="000C260B"/>
    <w:rsid w:val="000D47F7"/>
    <w:rsid w:val="000D780A"/>
    <w:rsid w:val="000E3C9A"/>
    <w:rsid w:val="000F37FB"/>
    <w:rsid w:val="001113B2"/>
    <w:rsid w:val="001128BE"/>
    <w:rsid w:val="001169AC"/>
    <w:rsid w:val="00136602"/>
    <w:rsid w:val="00155992"/>
    <w:rsid w:val="0016634D"/>
    <w:rsid w:val="00177CC8"/>
    <w:rsid w:val="00180A15"/>
    <w:rsid w:val="001948BE"/>
    <w:rsid w:val="001A1E72"/>
    <w:rsid w:val="001A2DAA"/>
    <w:rsid w:val="001C5AB2"/>
    <w:rsid w:val="001D31C2"/>
    <w:rsid w:val="001E482D"/>
    <w:rsid w:val="00215FA8"/>
    <w:rsid w:val="00276BEC"/>
    <w:rsid w:val="002A64E2"/>
    <w:rsid w:val="002B1EA9"/>
    <w:rsid w:val="002B24BF"/>
    <w:rsid w:val="002B5680"/>
    <w:rsid w:val="002C1DB3"/>
    <w:rsid w:val="002C2138"/>
    <w:rsid w:val="002D1237"/>
    <w:rsid w:val="002E7500"/>
    <w:rsid w:val="0034064C"/>
    <w:rsid w:val="00345BD5"/>
    <w:rsid w:val="00351BF4"/>
    <w:rsid w:val="00354FCF"/>
    <w:rsid w:val="0036355D"/>
    <w:rsid w:val="00367779"/>
    <w:rsid w:val="00372151"/>
    <w:rsid w:val="00373D00"/>
    <w:rsid w:val="003760DC"/>
    <w:rsid w:val="00376DC1"/>
    <w:rsid w:val="003866B9"/>
    <w:rsid w:val="003B7FDB"/>
    <w:rsid w:val="003C2D99"/>
    <w:rsid w:val="003C75F6"/>
    <w:rsid w:val="003F2684"/>
    <w:rsid w:val="004061F4"/>
    <w:rsid w:val="00421554"/>
    <w:rsid w:val="004222F5"/>
    <w:rsid w:val="004477F5"/>
    <w:rsid w:val="00457C51"/>
    <w:rsid w:val="00477EED"/>
    <w:rsid w:val="00483712"/>
    <w:rsid w:val="00491F40"/>
    <w:rsid w:val="004A1454"/>
    <w:rsid w:val="004B5067"/>
    <w:rsid w:val="004D2147"/>
    <w:rsid w:val="004E5C3C"/>
    <w:rsid w:val="00503B02"/>
    <w:rsid w:val="00512DF2"/>
    <w:rsid w:val="00515C4D"/>
    <w:rsid w:val="00524E12"/>
    <w:rsid w:val="00557D32"/>
    <w:rsid w:val="00576E93"/>
    <w:rsid w:val="00585FC4"/>
    <w:rsid w:val="00591D84"/>
    <w:rsid w:val="005E3B0E"/>
    <w:rsid w:val="005E6B2D"/>
    <w:rsid w:val="005F5201"/>
    <w:rsid w:val="005F7A13"/>
    <w:rsid w:val="006002BB"/>
    <w:rsid w:val="00601778"/>
    <w:rsid w:val="00607980"/>
    <w:rsid w:val="006101E2"/>
    <w:rsid w:val="00621B84"/>
    <w:rsid w:val="00625189"/>
    <w:rsid w:val="00633828"/>
    <w:rsid w:val="006360E6"/>
    <w:rsid w:val="00641A90"/>
    <w:rsid w:val="0068755D"/>
    <w:rsid w:val="006A027B"/>
    <w:rsid w:val="006A6912"/>
    <w:rsid w:val="006A722A"/>
    <w:rsid w:val="006B31AB"/>
    <w:rsid w:val="006B379C"/>
    <w:rsid w:val="006B5BDF"/>
    <w:rsid w:val="006B7DC6"/>
    <w:rsid w:val="006C0D3E"/>
    <w:rsid w:val="006F03B1"/>
    <w:rsid w:val="006F303C"/>
    <w:rsid w:val="0071267B"/>
    <w:rsid w:val="00713D6B"/>
    <w:rsid w:val="00722194"/>
    <w:rsid w:val="00732A9D"/>
    <w:rsid w:val="007351B0"/>
    <w:rsid w:val="00736361"/>
    <w:rsid w:val="00750AEF"/>
    <w:rsid w:val="00772093"/>
    <w:rsid w:val="00773A07"/>
    <w:rsid w:val="00780CB7"/>
    <w:rsid w:val="007C348F"/>
    <w:rsid w:val="007C7C68"/>
    <w:rsid w:val="007D6CB1"/>
    <w:rsid w:val="007E5FC2"/>
    <w:rsid w:val="007F6CBE"/>
    <w:rsid w:val="008124E9"/>
    <w:rsid w:val="00831870"/>
    <w:rsid w:val="008471E9"/>
    <w:rsid w:val="0085319D"/>
    <w:rsid w:val="00855084"/>
    <w:rsid w:val="00861A3F"/>
    <w:rsid w:val="00877202"/>
    <w:rsid w:val="008A3092"/>
    <w:rsid w:val="008C4F30"/>
    <w:rsid w:val="008F21D6"/>
    <w:rsid w:val="0091309C"/>
    <w:rsid w:val="009134E5"/>
    <w:rsid w:val="00925984"/>
    <w:rsid w:val="00930E84"/>
    <w:rsid w:val="00940CBA"/>
    <w:rsid w:val="00952D31"/>
    <w:rsid w:val="00965223"/>
    <w:rsid w:val="00980AD4"/>
    <w:rsid w:val="0099267F"/>
    <w:rsid w:val="00992EA8"/>
    <w:rsid w:val="009B640C"/>
    <w:rsid w:val="009D0A88"/>
    <w:rsid w:val="009D489E"/>
    <w:rsid w:val="00A25859"/>
    <w:rsid w:val="00A3710A"/>
    <w:rsid w:val="00A37B31"/>
    <w:rsid w:val="00A424D7"/>
    <w:rsid w:val="00A51395"/>
    <w:rsid w:val="00A619FD"/>
    <w:rsid w:val="00A6351A"/>
    <w:rsid w:val="00A85EE4"/>
    <w:rsid w:val="00A877FC"/>
    <w:rsid w:val="00AA0F2C"/>
    <w:rsid w:val="00AA3383"/>
    <w:rsid w:val="00AD1F15"/>
    <w:rsid w:val="00AD4DED"/>
    <w:rsid w:val="00AD75C5"/>
    <w:rsid w:val="00AF4F03"/>
    <w:rsid w:val="00B00099"/>
    <w:rsid w:val="00B170A8"/>
    <w:rsid w:val="00B2199C"/>
    <w:rsid w:val="00B27CF2"/>
    <w:rsid w:val="00B4467E"/>
    <w:rsid w:val="00B46140"/>
    <w:rsid w:val="00B479E4"/>
    <w:rsid w:val="00B53EEF"/>
    <w:rsid w:val="00B602F8"/>
    <w:rsid w:val="00B663A2"/>
    <w:rsid w:val="00B666D5"/>
    <w:rsid w:val="00B8559E"/>
    <w:rsid w:val="00BA2EDF"/>
    <w:rsid w:val="00BA4560"/>
    <w:rsid w:val="00BC020A"/>
    <w:rsid w:val="00BC61DF"/>
    <w:rsid w:val="00BE1A10"/>
    <w:rsid w:val="00BF7700"/>
    <w:rsid w:val="00C12558"/>
    <w:rsid w:val="00C24A1E"/>
    <w:rsid w:val="00C32EAA"/>
    <w:rsid w:val="00C6155C"/>
    <w:rsid w:val="00C75C60"/>
    <w:rsid w:val="00CA438E"/>
    <w:rsid w:val="00CB7200"/>
    <w:rsid w:val="00CB7CE9"/>
    <w:rsid w:val="00CC11AE"/>
    <w:rsid w:val="00CC1234"/>
    <w:rsid w:val="00CD6DE5"/>
    <w:rsid w:val="00CE0FF3"/>
    <w:rsid w:val="00CE31F8"/>
    <w:rsid w:val="00CF0A85"/>
    <w:rsid w:val="00CF51C6"/>
    <w:rsid w:val="00CF7A0C"/>
    <w:rsid w:val="00D0289E"/>
    <w:rsid w:val="00D14C8D"/>
    <w:rsid w:val="00D257CF"/>
    <w:rsid w:val="00D2671C"/>
    <w:rsid w:val="00D6204C"/>
    <w:rsid w:val="00D64C5A"/>
    <w:rsid w:val="00D73518"/>
    <w:rsid w:val="00D7712A"/>
    <w:rsid w:val="00D81D6B"/>
    <w:rsid w:val="00D941FC"/>
    <w:rsid w:val="00DA2A11"/>
    <w:rsid w:val="00DA2B86"/>
    <w:rsid w:val="00DA6219"/>
    <w:rsid w:val="00DD6BB4"/>
    <w:rsid w:val="00DD6E9F"/>
    <w:rsid w:val="00DE30E0"/>
    <w:rsid w:val="00E02996"/>
    <w:rsid w:val="00E15E7E"/>
    <w:rsid w:val="00E2064C"/>
    <w:rsid w:val="00E260F0"/>
    <w:rsid w:val="00E26AE0"/>
    <w:rsid w:val="00E30C98"/>
    <w:rsid w:val="00E3656E"/>
    <w:rsid w:val="00E447CA"/>
    <w:rsid w:val="00E64731"/>
    <w:rsid w:val="00E649D3"/>
    <w:rsid w:val="00E879CE"/>
    <w:rsid w:val="00E9516E"/>
    <w:rsid w:val="00EA1B0A"/>
    <w:rsid w:val="00EC1625"/>
    <w:rsid w:val="00ED5993"/>
    <w:rsid w:val="00ED5A7A"/>
    <w:rsid w:val="00EE3051"/>
    <w:rsid w:val="00EF78DF"/>
    <w:rsid w:val="00F00B09"/>
    <w:rsid w:val="00F01F42"/>
    <w:rsid w:val="00F14F2D"/>
    <w:rsid w:val="00F15880"/>
    <w:rsid w:val="00F165A3"/>
    <w:rsid w:val="00F16EAC"/>
    <w:rsid w:val="00F24413"/>
    <w:rsid w:val="00F7379F"/>
    <w:rsid w:val="00F815C6"/>
    <w:rsid w:val="00F827AF"/>
    <w:rsid w:val="00FA596F"/>
    <w:rsid w:val="00FB180D"/>
    <w:rsid w:val="00FD700F"/>
    <w:rsid w:val="00FE19AF"/>
    <w:rsid w:val="00FE3914"/>
    <w:rsid w:val="00FE40BF"/>
    <w:rsid w:val="00FE7D55"/>
    <w:rsid w:val="00FF420B"/>
    <w:rsid w:val="00FF7A8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Overskrift2">
    <w:name w:val="heading 2"/>
    <w:basedOn w:val="Normal"/>
    <w:next w:val="Normal"/>
    <w:link w:val="Overskrift2Tegn"/>
    <w:semiHidden/>
    <w:unhideWhenUsed/>
    <w:qFormat/>
    <w:rsid w:val="000268D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semiHidden/>
    <w:rsid w:val="000268DF"/>
    <w:rPr>
      <w:rFonts w:ascii="Arial" w:eastAsia="Arial Unicode MS" w:hAnsi="Arial" w:cs="Arial"/>
      <w:sz w:val="30"/>
      <w:szCs w:val="24"/>
    </w:rPr>
  </w:style>
  <w:style w:type="character" w:styleId="Hyperlink">
    <w:name w:val="Hyperlink"/>
    <w:semiHidden/>
    <w:unhideWhenUsed/>
    <w:rsid w:val="000268DF"/>
    <w:rPr>
      <w:color w:val="0000FF"/>
      <w:u w:val="single"/>
    </w:rPr>
  </w:style>
  <w:style w:type="paragraph" w:styleId="Fodnotetekst">
    <w:name w:val="footnote text"/>
    <w:basedOn w:val="Normal"/>
    <w:link w:val="FodnotetekstTegn"/>
    <w:unhideWhenUsed/>
    <w:rsid w:val="000268DF"/>
    <w:pPr>
      <w:widowControl w:val="0"/>
      <w:autoSpaceDE w:val="0"/>
      <w:autoSpaceDN w:val="0"/>
      <w:adjustRightInd w:val="0"/>
    </w:pPr>
    <w:rPr>
      <w:sz w:val="20"/>
      <w:szCs w:val="20"/>
      <w:lang w:val="da-DK" w:eastAsia="da-DK"/>
    </w:rPr>
  </w:style>
  <w:style w:type="character" w:customStyle="1" w:styleId="FodnotetekstTegn">
    <w:name w:val="Fodnotetekst Tegn"/>
    <w:basedOn w:val="Standardskrifttypeiafsnit"/>
    <w:link w:val="Fodnotetekst"/>
    <w:rsid w:val="000268DF"/>
  </w:style>
  <w:style w:type="paragraph" w:styleId="Sidefod">
    <w:name w:val="footer"/>
    <w:basedOn w:val="Normal"/>
    <w:link w:val="SidefodTegn"/>
    <w:unhideWhenUsed/>
    <w:rsid w:val="000268D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link w:val="Sidefod"/>
    <w:rsid w:val="000268DF"/>
    <w:rPr>
      <w:szCs w:val="24"/>
    </w:rPr>
  </w:style>
  <w:style w:type="character" w:styleId="Fodnotehenvisning">
    <w:name w:val="footnote reference"/>
    <w:semiHidden/>
    <w:unhideWhenUsed/>
    <w:rsid w:val="000268DF"/>
  </w:style>
  <w:style w:type="paragraph" w:styleId="Markeringsbobletekst">
    <w:name w:val="Balloon Text"/>
    <w:basedOn w:val="Normal"/>
    <w:link w:val="MarkeringsbobletekstTegn"/>
    <w:uiPriority w:val="99"/>
    <w:semiHidden/>
    <w:unhideWhenUsed/>
    <w:rsid w:val="00DE30E0"/>
    <w:rPr>
      <w:rFonts w:ascii="Tahoma" w:hAnsi="Tahoma" w:cs="Tahoma"/>
      <w:sz w:val="16"/>
      <w:szCs w:val="16"/>
    </w:rPr>
  </w:style>
  <w:style w:type="character" w:customStyle="1" w:styleId="MarkeringsbobletekstTegn">
    <w:name w:val="Markeringsbobletekst Tegn"/>
    <w:link w:val="Markeringsbobletekst"/>
    <w:uiPriority w:val="99"/>
    <w:semiHidden/>
    <w:rsid w:val="00DE30E0"/>
    <w:rPr>
      <w:rFonts w:ascii="Tahoma" w:hAnsi="Tahoma" w:cs="Tahoma"/>
      <w:sz w:val="16"/>
      <w:szCs w:val="16"/>
      <w:lang w:val="en-GB" w:eastAsia="en-US"/>
    </w:rPr>
  </w:style>
  <w:style w:type="paragraph" w:styleId="Sidehoved">
    <w:name w:val="header"/>
    <w:basedOn w:val="Normal"/>
    <w:link w:val="SidehovedTegn"/>
    <w:uiPriority w:val="99"/>
    <w:unhideWhenUsed/>
    <w:rsid w:val="00F165A3"/>
    <w:pPr>
      <w:tabs>
        <w:tab w:val="center" w:pos="4819"/>
        <w:tab w:val="right" w:pos="9638"/>
      </w:tabs>
    </w:pPr>
  </w:style>
  <w:style w:type="character" w:customStyle="1" w:styleId="SidehovedTegn">
    <w:name w:val="Sidehoved Tegn"/>
    <w:link w:val="Sidehoved"/>
    <w:uiPriority w:val="99"/>
    <w:rsid w:val="00F165A3"/>
    <w:rPr>
      <w:sz w:val="24"/>
      <w:szCs w:val="24"/>
      <w:lang w:val="en-GB" w:eastAsia="en-US"/>
    </w:rPr>
  </w:style>
  <w:style w:type="paragraph" w:customStyle="1" w:styleId="Modtageradresseibrevhoved">
    <w:name w:val="Modtageradresse i brevhoved"/>
    <w:basedOn w:val="Brdtekst"/>
    <w:rsid w:val="00CC11AE"/>
    <w:pPr>
      <w:spacing w:after="0" w:line="240" w:lineRule="atLeast"/>
    </w:pPr>
    <w:rPr>
      <w:rFonts w:ascii="Garamond" w:hAnsi="Garamond"/>
      <w:kern w:val="18"/>
      <w:sz w:val="20"/>
      <w:szCs w:val="20"/>
      <w:lang w:val="da-DK" w:eastAsia="da-DK"/>
    </w:rPr>
  </w:style>
  <w:style w:type="paragraph" w:styleId="Brdtekst">
    <w:name w:val="Body Text"/>
    <w:basedOn w:val="Normal"/>
    <w:link w:val="BrdtekstTegn"/>
    <w:uiPriority w:val="99"/>
    <w:semiHidden/>
    <w:unhideWhenUsed/>
    <w:rsid w:val="00CC11AE"/>
    <w:pPr>
      <w:spacing w:after="120"/>
    </w:pPr>
  </w:style>
  <w:style w:type="character" w:customStyle="1" w:styleId="BrdtekstTegn">
    <w:name w:val="Brødtekst Tegn"/>
    <w:link w:val="Brdtekst"/>
    <w:uiPriority w:val="99"/>
    <w:semiHidden/>
    <w:rsid w:val="00CC11AE"/>
    <w:rPr>
      <w:sz w:val="24"/>
      <w:szCs w:val="24"/>
      <w:lang w:val="en-GB" w:eastAsia="en-US"/>
    </w:rPr>
  </w:style>
  <w:style w:type="paragraph" w:customStyle="1" w:styleId="Default">
    <w:name w:val="Default"/>
    <w:rsid w:val="00E649D3"/>
    <w:pPr>
      <w:autoSpaceDE w:val="0"/>
      <w:autoSpaceDN w:val="0"/>
      <w:adjustRightInd w:val="0"/>
    </w:pPr>
    <w:rPr>
      <w:color w:val="000000"/>
      <w:sz w:val="24"/>
      <w:szCs w:val="24"/>
    </w:rPr>
  </w:style>
  <w:style w:type="character" w:styleId="BesgtHyperlink">
    <w:name w:val="FollowedHyperlink"/>
    <w:basedOn w:val="Standardskrifttypeiafsnit"/>
    <w:uiPriority w:val="99"/>
    <w:semiHidden/>
    <w:unhideWhenUsed/>
    <w:rsid w:val="00A877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599">
      <w:bodyDiv w:val="1"/>
      <w:marLeft w:val="0"/>
      <w:marRight w:val="0"/>
      <w:marTop w:val="0"/>
      <w:marBottom w:val="0"/>
      <w:divBdr>
        <w:top w:val="none" w:sz="0" w:space="0" w:color="auto"/>
        <w:left w:val="none" w:sz="0" w:space="0" w:color="auto"/>
        <w:bottom w:val="none" w:sz="0" w:space="0" w:color="auto"/>
        <w:right w:val="none" w:sz="0" w:space="0" w:color="auto"/>
      </w:divBdr>
    </w:div>
    <w:div w:id="128941323">
      <w:bodyDiv w:val="1"/>
      <w:marLeft w:val="0"/>
      <w:marRight w:val="0"/>
      <w:marTop w:val="0"/>
      <w:marBottom w:val="0"/>
      <w:divBdr>
        <w:top w:val="none" w:sz="0" w:space="0" w:color="auto"/>
        <w:left w:val="none" w:sz="0" w:space="0" w:color="auto"/>
        <w:bottom w:val="none" w:sz="0" w:space="0" w:color="auto"/>
        <w:right w:val="none" w:sz="0" w:space="0" w:color="auto"/>
      </w:divBdr>
    </w:div>
    <w:div w:id="614293093">
      <w:bodyDiv w:val="1"/>
      <w:marLeft w:val="0"/>
      <w:marRight w:val="0"/>
      <w:marTop w:val="0"/>
      <w:marBottom w:val="0"/>
      <w:divBdr>
        <w:top w:val="none" w:sz="0" w:space="0" w:color="auto"/>
        <w:left w:val="none" w:sz="0" w:space="0" w:color="auto"/>
        <w:bottom w:val="none" w:sz="0" w:space="0" w:color="auto"/>
        <w:right w:val="none" w:sz="0" w:space="0" w:color="auto"/>
      </w:divBdr>
    </w:div>
    <w:div w:id="681706259">
      <w:bodyDiv w:val="1"/>
      <w:marLeft w:val="0"/>
      <w:marRight w:val="0"/>
      <w:marTop w:val="0"/>
      <w:marBottom w:val="0"/>
      <w:divBdr>
        <w:top w:val="none" w:sz="0" w:space="0" w:color="auto"/>
        <w:left w:val="none" w:sz="0" w:space="0" w:color="auto"/>
        <w:bottom w:val="none" w:sz="0" w:space="0" w:color="auto"/>
        <w:right w:val="none" w:sz="0" w:space="0" w:color="auto"/>
      </w:divBdr>
    </w:div>
    <w:div w:id="703792500">
      <w:bodyDiv w:val="1"/>
      <w:marLeft w:val="45"/>
      <w:marRight w:val="45"/>
      <w:marTop w:val="0"/>
      <w:marBottom w:val="0"/>
      <w:divBdr>
        <w:top w:val="none" w:sz="0" w:space="0" w:color="auto"/>
        <w:left w:val="none" w:sz="0" w:space="0" w:color="auto"/>
        <w:bottom w:val="none" w:sz="0" w:space="0" w:color="auto"/>
        <w:right w:val="none" w:sz="0" w:space="0" w:color="auto"/>
      </w:divBdr>
    </w:div>
    <w:div w:id="1427113897">
      <w:bodyDiv w:val="1"/>
      <w:marLeft w:val="0"/>
      <w:marRight w:val="0"/>
      <w:marTop w:val="0"/>
      <w:marBottom w:val="0"/>
      <w:divBdr>
        <w:top w:val="none" w:sz="0" w:space="0" w:color="auto"/>
        <w:left w:val="none" w:sz="0" w:space="0" w:color="auto"/>
        <w:bottom w:val="none" w:sz="0" w:space="0" w:color="auto"/>
        <w:right w:val="none" w:sz="0" w:space="0" w:color="auto"/>
      </w:divBdr>
    </w:div>
    <w:div w:id="1493253190">
      <w:bodyDiv w:val="1"/>
      <w:marLeft w:val="0"/>
      <w:marRight w:val="0"/>
      <w:marTop w:val="0"/>
      <w:marBottom w:val="0"/>
      <w:divBdr>
        <w:top w:val="none" w:sz="0" w:space="0" w:color="auto"/>
        <w:left w:val="none" w:sz="0" w:space="0" w:color="auto"/>
        <w:bottom w:val="none" w:sz="0" w:space="0" w:color="auto"/>
        <w:right w:val="none" w:sz="0" w:space="0" w:color="auto"/>
      </w:divBdr>
    </w:div>
    <w:div w:id="1500610104">
      <w:bodyDiv w:val="1"/>
      <w:marLeft w:val="0"/>
      <w:marRight w:val="0"/>
      <w:marTop w:val="0"/>
      <w:marBottom w:val="0"/>
      <w:divBdr>
        <w:top w:val="none" w:sz="0" w:space="0" w:color="auto"/>
        <w:left w:val="none" w:sz="0" w:space="0" w:color="auto"/>
        <w:bottom w:val="none" w:sz="0" w:space="0" w:color="auto"/>
        <w:right w:val="none" w:sz="0" w:space="0" w:color="auto"/>
      </w:divBdr>
    </w:div>
    <w:div w:id="1526669348">
      <w:bodyDiv w:val="1"/>
      <w:marLeft w:val="0"/>
      <w:marRight w:val="0"/>
      <w:marTop w:val="0"/>
      <w:marBottom w:val="0"/>
      <w:divBdr>
        <w:top w:val="none" w:sz="0" w:space="0" w:color="auto"/>
        <w:left w:val="none" w:sz="0" w:space="0" w:color="auto"/>
        <w:bottom w:val="none" w:sz="0" w:space="0" w:color="auto"/>
        <w:right w:val="none" w:sz="0" w:space="0" w:color="auto"/>
      </w:divBdr>
    </w:div>
    <w:div w:id="1842501355">
      <w:bodyDiv w:val="1"/>
      <w:marLeft w:val="0"/>
      <w:marRight w:val="0"/>
      <w:marTop w:val="0"/>
      <w:marBottom w:val="0"/>
      <w:divBdr>
        <w:top w:val="none" w:sz="0" w:space="0" w:color="auto"/>
        <w:left w:val="none" w:sz="0" w:space="0" w:color="auto"/>
        <w:bottom w:val="none" w:sz="0" w:space="0" w:color="auto"/>
        <w:right w:val="none" w:sz="0" w:space="0" w:color="auto"/>
      </w:divBdr>
    </w:div>
    <w:div w:id="21341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C978-4D16-4E9B-A9C4-FC04A35A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3379</Words>
  <Characters>20612</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Mogens Jonas Rasander</cp:lastModifiedBy>
  <cp:revision>7</cp:revision>
  <cp:lastPrinted>2015-01-30T08:54:00Z</cp:lastPrinted>
  <dcterms:created xsi:type="dcterms:W3CDTF">2015-01-29T16:47:00Z</dcterms:created>
  <dcterms:modified xsi:type="dcterms:W3CDTF">2015-02-03T12:43:00Z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C:\Users\w11423\AppData\Local\Temp\27\Scanjour\Captia\SJ20150203124318889 [DOK82937937].DOCX</vt:lpwstr>
  </property>
  <property fmtid="{D5CDD505-2E9C-101B-9397-08002B2CF9AE}" pid="3" name="title">
    <vt:lpwstr>Lovudkast 1.9 til ministerens godkendelse (DOK82937937)</vt:lpwstr>
  </property>
  <property fmtid="{D5CDD505-2E9C-101B-9397-08002B2CF9AE}" pid="4" name="command">
    <vt:lpwstr/>
  </property>
</Properties>
</file>